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2"/>
          <w:szCs w:val="32"/>
        </w:rPr>
      </w:pPr>
    </w:p>
    <w:p>
      <w:pPr>
        <w:spacing w:line="56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2015年吉林省文化发展统计概述</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2015年，全省文化系统全面贯彻党的十八大和十八届三中、四中、五中全会精神，深入学习贯彻习近平总书记系列重要讲话精神，紧紧围绕“四个全面”战略布局，坚持社会主义先进文化前进方向，坚持以人民为中心的工作导向，开拓创新，积极作为，文化改革发展取得新成效，</w:t>
      </w:r>
      <w:r>
        <w:rPr>
          <w:rFonts w:hint="eastAsia" w:ascii="仿宋_GB2312" w:eastAsia="仿宋_GB2312"/>
          <w:sz w:val="32"/>
          <w:szCs w:val="32"/>
        </w:rPr>
        <w:t>“十二五”时期各项任务圆满收官，</w:t>
      </w:r>
      <w:r>
        <w:rPr>
          <w:rFonts w:hint="eastAsia" w:ascii="仿宋_GB2312" w:hAnsi="仿宋_GB2312" w:eastAsia="仿宋_GB2312"/>
          <w:sz w:val="32"/>
          <w:szCs w:val="32"/>
        </w:rPr>
        <w:t>为建设社会主义文化强国、全面建成小康社会、实现中华民族伟大复兴的中国梦奠定了坚实文化基础。</w:t>
      </w:r>
    </w:p>
    <w:p>
      <w:pPr>
        <w:spacing w:line="560" w:lineRule="exact"/>
        <w:ind w:firstLine="640" w:firstLineChars="200"/>
        <w:rPr>
          <w:rFonts w:hint="eastAsia" w:ascii="黑体" w:hAnsi="仿宋_GB2312" w:eastAsia="黑体"/>
          <w:sz w:val="32"/>
          <w:szCs w:val="32"/>
        </w:rPr>
      </w:pPr>
      <w:r>
        <w:rPr>
          <w:rFonts w:hint="eastAsia" w:ascii="黑体" w:hAnsi="仿宋_GB2312" w:eastAsia="黑体"/>
          <w:sz w:val="32"/>
          <w:szCs w:val="32"/>
        </w:rPr>
        <w:t>一、机构和人员</w:t>
      </w:r>
    </w:p>
    <w:p>
      <w:pPr>
        <w:spacing w:line="560" w:lineRule="exact"/>
        <w:ind w:firstLine="640" w:firstLineChars="200"/>
        <w:rPr>
          <w:rFonts w:hint="eastAsia" w:ascii="仿宋_GB2312" w:hAnsi="仿宋_GB2312" w:eastAsia="仿宋_GB2312"/>
          <w:sz w:val="32"/>
          <w:szCs w:val="32"/>
        </w:rPr>
      </w:pPr>
      <w:r>
        <w:rPr>
          <w:rFonts w:hint="eastAsia" w:ascii="仿宋_GB2312" w:eastAsia="仿宋_GB2312"/>
          <w:sz w:val="32"/>
          <w:szCs w:val="32"/>
        </w:rPr>
        <w:t>2015年末，纳入统计范围的全国各类文化（文物）单位5924</w:t>
      </w:r>
      <w:r>
        <w:rPr>
          <w:rFonts w:hint="eastAsia" w:ascii="仿宋_GB2312" w:hAnsi="仿宋_GB2312" w:eastAsia="仿宋_GB2312"/>
          <w:sz w:val="32"/>
          <w:szCs w:val="32"/>
        </w:rPr>
        <w:t>个，比上年末增加329个；从业人员29460人，减少544人。其中，各级文化文物部门所属单位</w:t>
      </w:r>
      <w:r>
        <w:rPr>
          <w:rFonts w:hint="eastAsia" w:ascii="仿宋_GB2312" w:eastAsia="仿宋_GB2312"/>
          <w:sz w:val="32"/>
          <w:szCs w:val="32"/>
        </w:rPr>
        <w:t>1451</w:t>
      </w:r>
      <w:r>
        <w:rPr>
          <w:rFonts w:hint="eastAsia" w:ascii="仿宋_GB2312" w:hAnsi="仿宋_GB2312" w:eastAsia="仿宋_GB2312"/>
          <w:sz w:val="32"/>
          <w:szCs w:val="32"/>
        </w:rPr>
        <w:t>个，比上年末增加4个；从业人员13541人，减少91人。</w:t>
      </w:r>
    </w:p>
    <w:p>
      <w:pPr>
        <w:jc w:val="center"/>
        <w:rPr>
          <w:rFonts w:hint="eastAsia" w:ascii="黑体" w:hAnsi="仿宋_GB2312" w:eastAsia="黑体"/>
          <w:sz w:val="32"/>
          <w:szCs w:val="32"/>
        </w:rPr>
      </w:pPr>
      <w:r>
        <w:drawing>
          <wp:inline distT="0" distB="0" distL="114300" distR="114300">
            <wp:extent cx="5269230" cy="2684145"/>
            <wp:effectExtent l="0" t="0" r="762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黑体" w:eastAsia="黑体"/>
          <w:sz w:val="32"/>
          <w:szCs w:val="32"/>
        </w:rPr>
      </w:pPr>
      <w:r>
        <w:rPr>
          <w:rFonts w:hint="eastAsia" w:ascii="黑体" w:eastAsia="黑体"/>
          <w:sz w:val="32"/>
          <w:szCs w:val="32"/>
        </w:rPr>
        <w:t>二、艺术创作演出</w:t>
      </w:r>
    </w:p>
    <w:p>
      <w:pPr>
        <w:adjustRightInd w:val="0"/>
        <w:snapToGrid w:val="0"/>
        <w:spacing w:line="560" w:lineRule="exact"/>
        <w:ind w:firstLine="643"/>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2015年，艺术扶持政策措施更加完善。积极推动出台《关于支持戏曲传承发展的若干政策》，启动全国地方戏曲剧种普查，扶持“三个一批”戏曲剧本27个、“名家传戏”师徒141组。实施中国民族音乐舞蹈扶持发展工程，扶持“一带一路”主题采风创作项目16个。组织直属艺术单位186批、近4400人次文艺工作者深入基层，开展创作采风、结对帮扶、慰问演出等活动。国家艺术基金</w:t>
      </w:r>
      <w:r>
        <w:rPr>
          <w:rFonts w:hint="eastAsia" w:ascii="仿宋_GB2312" w:eastAsia="仿宋_GB2312"/>
          <w:sz w:val="32"/>
          <w:szCs w:val="32"/>
        </w:rPr>
        <w:t>2015年立项资助728个项目。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年末全国共有艺术表演团体</w:t>
      </w:r>
      <w:r>
        <w:rPr>
          <w:rFonts w:hint="eastAsia"/>
          <w:szCs w:val="21"/>
          <w:vertAlign w:val="superscript"/>
        </w:rPr>
        <w:t>[4]</w:t>
      </w:r>
      <w:r>
        <w:rPr>
          <w:rFonts w:hint="eastAsia" w:ascii="仿宋_GB2312" w:eastAsia="仿宋_GB2312"/>
          <w:sz w:val="32"/>
          <w:szCs w:val="32"/>
        </w:rPr>
        <w:t>10787个，比上年末增加2018个，从业人员30.18万人，增加3.90万人。其中各级文化部门所属的艺术表演团体2037个，占18.9%，从业人员11.54万人，占38.2%。</w:t>
      </w:r>
    </w:p>
    <w:p>
      <w:pPr>
        <w:adjustRightInd w:val="0"/>
        <w:snapToGrid w:val="0"/>
        <w:spacing w:line="560" w:lineRule="exact"/>
        <w:ind w:firstLine="643"/>
        <w:rPr>
          <w:rFonts w:hint="eastAsia" w:ascii="仿宋_GB2312" w:eastAsia="仿宋_GB2312"/>
          <w:sz w:val="32"/>
          <w:szCs w:val="32"/>
        </w:rPr>
      </w:pPr>
      <w:r>
        <w:rPr>
          <w:rFonts w:hint="eastAsia" w:ascii="仿宋_GB2312" w:eastAsia="仿宋_GB2312"/>
          <w:sz w:val="32"/>
          <w:szCs w:val="32"/>
        </w:rPr>
        <w:t>全年全国艺术表演团体共演出210.78万场，比上年增长21.2%，其中赴农村演出139.08万场，增长21.9%，赴农村演出场次占总演出场次的66.0%，比重比上年提高0.4个百分点；国内观众9.58亿人次，增长5.3%，其中农村观众5.85亿人次，比上年增长4.6%；总收入257.65亿元，比上年增长13.8%，其中演出收入93.93亿元，增长24.1%。</w:t>
      </w:r>
    </w:p>
    <w:tbl>
      <w:tblPr>
        <w:tblStyle w:val="5"/>
        <w:tblW w:w="8520" w:type="dxa"/>
        <w:tblInd w:w="108" w:type="dxa"/>
        <w:tblLayout w:type="autofit"/>
        <w:tblCellMar>
          <w:top w:w="0" w:type="dxa"/>
          <w:left w:w="108" w:type="dxa"/>
          <w:bottom w:w="0" w:type="dxa"/>
          <w:right w:w="108" w:type="dxa"/>
        </w:tblCellMar>
      </w:tblPr>
      <w:tblGrid>
        <w:gridCol w:w="1065"/>
        <w:gridCol w:w="1065"/>
        <w:gridCol w:w="1278"/>
        <w:gridCol w:w="1278"/>
        <w:gridCol w:w="1491"/>
        <w:gridCol w:w="1065"/>
        <w:gridCol w:w="1278"/>
      </w:tblGrid>
      <w:tr>
        <w:tblPrEx>
          <w:tblCellMar>
            <w:top w:w="0" w:type="dxa"/>
            <w:left w:w="108" w:type="dxa"/>
            <w:bottom w:w="0" w:type="dxa"/>
            <w:right w:w="108" w:type="dxa"/>
          </w:tblCellMar>
        </w:tblPrEx>
        <w:trPr>
          <w:wBefore w:w="0" w:type="dxa"/>
          <w:wAfter w:w="0" w:type="dxa"/>
          <w:trHeight w:val="495" w:hRule="atLeast"/>
        </w:trPr>
        <w:tc>
          <w:tcPr>
            <w:tcW w:w="8520" w:type="dxa"/>
            <w:gridSpan w:val="7"/>
            <w:tcBorders>
              <w:top w:val="nil"/>
              <w:left w:val="nil"/>
              <w:bottom w:val="single" w:color="auto" w:sz="4" w:space="0"/>
              <w:right w:val="nil"/>
            </w:tcBorders>
            <w:shd w:val="clear" w:color="auto" w:fill="auto"/>
            <w:noWrap/>
            <w:vAlign w:val="center"/>
          </w:tcPr>
          <w:p>
            <w:pPr>
              <w:widowControl/>
              <w:jc w:val="center"/>
              <w:rPr>
                <w:rFonts w:ascii="黑体" w:eastAsia="黑体"/>
                <w:sz w:val="24"/>
              </w:rPr>
            </w:pPr>
            <w:r>
              <w:rPr>
                <w:rFonts w:hint="eastAsia" w:ascii="黑体" w:eastAsia="黑体"/>
                <w:sz w:val="24"/>
              </w:rPr>
              <w:t>2007年-2015年全国艺术表演团体基本情况</w:t>
            </w:r>
          </w:p>
        </w:tc>
      </w:tr>
      <w:tr>
        <w:tblPrEx>
          <w:tblCellMar>
            <w:top w:w="0" w:type="dxa"/>
            <w:left w:w="108" w:type="dxa"/>
            <w:bottom w:w="0" w:type="dxa"/>
            <w:right w:w="108" w:type="dxa"/>
          </w:tblCellMar>
        </w:tblPrEx>
        <w:trPr>
          <w:wBefore w:w="0" w:type="dxa"/>
          <w:wAfter w:w="0" w:type="dxa"/>
          <w:trHeight w:val="570" w:hRule="atLeast"/>
        </w:trPr>
        <w:tc>
          <w:tcPr>
            <w:tcW w:w="106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年  份</w:t>
            </w:r>
          </w:p>
        </w:tc>
        <w:tc>
          <w:tcPr>
            <w:tcW w:w="106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机构数（个）</w:t>
            </w:r>
          </w:p>
        </w:tc>
        <w:tc>
          <w:tcPr>
            <w:tcW w:w="12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从业人员数（人）</w:t>
            </w:r>
          </w:p>
        </w:tc>
        <w:tc>
          <w:tcPr>
            <w:tcW w:w="127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演出场次（万场）</w:t>
            </w:r>
          </w:p>
        </w:tc>
        <w:tc>
          <w:tcPr>
            <w:tcW w:w="1491" w:type="dxa"/>
            <w:vMerge w:val="restart"/>
            <w:tcBorders>
              <w:top w:val="nil"/>
              <w:left w:val="single" w:color="auto" w:sz="4" w:space="0"/>
              <w:bottom w:val="single" w:color="auto" w:sz="4" w:space="0"/>
              <w:right w:val="single" w:color="000000"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国内演出</w:t>
            </w:r>
          </w:p>
          <w:p>
            <w:pPr>
              <w:widowControl/>
              <w:jc w:val="center"/>
              <w:rPr>
                <w:rFonts w:hint="eastAsia" w:ascii="宋体" w:hAnsi="宋体" w:cs="宋体"/>
                <w:kern w:val="0"/>
                <w:szCs w:val="21"/>
              </w:rPr>
            </w:pPr>
            <w:r>
              <w:rPr>
                <w:rFonts w:hint="eastAsia" w:ascii="宋体" w:hAnsi="宋体" w:cs="宋体"/>
                <w:kern w:val="0"/>
                <w:szCs w:val="21"/>
              </w:rPr>
              <w:t>观众人次</w:t>
            </w:r>
          </w:p>
          <w:p>
            <w:pPr>
              <w:widowControl/>
              <w:jc w:val="center"/>
              <w:rPr>
                <w:rFonts w:ascii="宋体" w:hAnsi="宋体" w:cs="宋体"/>
                <w:kern w:val="0"/>
                <w:szCs w:val="21"/>
              </w:rPr>
            </w:pPr>
            <w:r>
              <w:rPr>
                <w:rFonts w:hint="eastAsia" w:ascii="宋体" w:hAnsi="宋体" w:cs="宋体"/>
                <w:kern w:val="0"/>
                <w:szCs w:val="21"/>
              </w:rPr>
              <w:t>（万人次）</w:t>
            </w:r>
          </w:p>
        </w:tc>
        <w:tc>
          <w:tcPr>
            <w:tcW w:w="2343" w:type="dxa"/>
            <w:gridSpan w:val="2"/>
            <w:tcBorders>
              <w:top w:val="single" w:color="auto" w:sz="4" w:space="0"/>
              <w:left w:val="nil"/>
              <w:bottom w:val="nil"/>
              <w:right w:val="single" w:color="000000"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总收入（万元）</w:t>
            </w:r>
          </w:p>
        </w:tc>
      </w:tr>
      <w:tr>
        <w:tblPrEx>
          <w:tblCellMar>
            <w:top w:w="0" w:type="dxa"/>
            <w:left w:w="108" w:type="dxa"/>
            <w:bottom w:w="0" w:type="dxa"/>
            <w:right w:w="108" w:type="dxa"/>
          </w:tblCellMar>
        </w:tblPrEx>
        <w:trPr>
          <w:wBefore w:w="0" w:type="dxa"/>
          <w:wAfter w:w="0" w:type="dxa"/>
          <w:trHeight w:val="510" w:hRule="atLeast"/>
        </w:trPr>
        <w:tc>
          <w:tcPr>
            <w:tcW w:w="106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06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2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27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91" w:type="dxa"/>
            <w:vMerge w:val="continue"/>
            <w:tcBorders>
              <w:top w:val="nil"/>
              <w:left w:val="single" w:color="auto" w:sz="4" w:space="0"/>
              <w:bottom w:val="single" w:color="auto" w:sz="4" w:space="0"/>
              <w:right w:val="single" w:color="000000" w:sz="4" w:space="0"/>
            </w:tcBorders>
            <w:shd w:val="clear" w:color="auto" w:fill="auto"/>
            <w:noWrap w:val="0"/>
            <w:vAlign w:val="center"/>
          </w:tcPr>
          <w:p>
            <w:pPr>
              <w:widowControl/>
              <w:jc w:val="left"/>
              <w:rPr>
                <w:rFonts w:ascii="宋体" w:hAnsi="宋体" w:cs="宋体"/>
                <w:kern w:val="0"/>
                <w:szCs w:val="21"/>
              </w:rPr>
            </w:pPr>
          </w:p>
        </w:tc>
        <w:tc>
          <w:tcPr>
            <w:tcW w:w="106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27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Cs w:val="21"/>
              </w:rPr>
            </w:pPr>
            <w:r>
              <w:rPr>
                <w:rFonts w:hint="eastAsia" w:ascii="宋体" w:hAnsi="宋体" w:cs="宋体"/>
                <w:kern w:val="0"/>
                <w:szCs w:val="21"/>
              </w:rPr>
              <w:t>#演出收入</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2007年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4512</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220653</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92.7</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75895.6</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829045</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kern w:val="0"/>
                <w:szCs w:val="21"/>
              </w:rPr>
            </w:pPr>
            <w:r>
              <w:rPr>
                <w:rFonts w:hint="eastAsia" w:ascii="宋体" w:hAnsi="宋体" w:cs="宋体"/>
                <w:kern w:val="0"/>
                <w:szCs w:val="21"/>
              </w:rPr>
              <w:t>203757</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2008年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5114</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208174</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90.5</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63186.8</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933685</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204842</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2009年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6139</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184678</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120.2</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81715.9</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1121559</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288214</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2010年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6864</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185413</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137.1</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88455.8</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1239255</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342696</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2011年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7055</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226599</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154.7</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74585.1</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1540263</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526745</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2012年</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7321</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242047</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 xml:space="preserve">135.0 </w:t>
            </w:r>
          </w:p>
        </w:tc>
        <w:tc>
          <w:tcPr>
            <w:tcW w:w="14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82805.1</w:t>
            </w:r>
          </w:p>
        </w:tc>
        <w:tc>
          <w:tcPr>
            <w:tcW w:w="10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1968802</w:t>
            </w:r>
          </w:p>
        </w:tc>
        <w:tc>
          <w:tcPr>
            <w:tcW w:w="12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Cs w:val="21"/>
              </w:rPr>
            </w:pPr>
            <w:r>
              <w:rPr>
                <w:rFonts w:hint="eastAsia" w:ascii="宋体" w:hAnsi="宋体" w:cs="宋体"/>
                <w:kern w:val="0"/>
                <w:szCs w:val="21"/>
              </w:rPr>
              <w:t>641480</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kern w:val="0"/>
                <w:szCs w:val="21"/>
              </w:rPr>
            </w:pPr>
            <w:r>
              <w:rPr>
                <w:rFonts w:hint="eastAsia" w:ascii="宋体" w:hAnsi="宋体" w:cs="宋体"/>
                <w:kern w:val="0"/>
                <w:szCs w:val="21"/>
              </w:rPr>
              <w:t>2013年</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8180</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260865</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165.1</w:t>
            </w:r>
          </w:p>
        </w:tc>
        <w:tc>
          <w:tcPr>
            <w:tcW w:w="1491"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90064.3</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2800266</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820738</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kern w:val="0"/>
                <w:szCs w:val="21"/>
              </w:rPr>
            </w:pPr>
            <w:r>
              <w:rPr>
                <w:rFonts w:hint="eastAsia" w:ascii="宋体" w:hAnsi="宋体" w:cs="宋体"/>
                <w:kern w:val="0"/>
                <w:szCs w:val="21"/>
              </w:rPr>
              <w:t>2014年</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8769</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262887</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173.9</w:t>
            </w:r>
          </w:p>
        </w:tc>
        <w:tc>
          <w:tcPr>
            <w:tcW w:w="1491"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91019.7</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2264046</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757028</w:t>
            </w:r>
          </w:p>
        </w:tc>
      </w:tr>
      <w:tr>
        <w:tblPrEx>
          <w:tblCellMar>
            <w:top w:w="0" w:type="dxa"/>
            <w:left w:w="108" w:type="dxa"/>
            <w:bottom w:w="0" w:type="dxa"/>
            <w:right w:w="108" w:type="dxa"/>
          </w:tblCellMar>
        </w:tblPrEx>
        <w:trPr>
          <w:wBefore w:w="0" w:type="dxa"/>
          <w:wAfter w:w="0" w:type="dxa"/>
          <w:trHeight w:val="345" w:hRule="atLeast"/>
        </w:trPr>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kern w:val="0"/>
                <w:szCs w:val="21"/>
              </w:rPr>
            </w:pPr>
            <w:r>
              <w:rPr>
                <w:rFonts w:hint="eastAsia" w:ascii="宋体" w:hAnsi="宋体" w:cs="宋体"/>
                <w:kern w:val="0"/>
                <w:szCs w:val="21"/>
              </w:rPr>
              <w:t>2015年</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10787</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301840</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210.8</w:t>
            </w:r>
          </w:p>
        </w:tc>
        <w:tc>
          <w:tcPr>
            <w:tcW w:w="1491"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95799.0</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2576483</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cs="宋体"/>
                <w:kern w:val="0"/>
                <w:szCs w:val="21"/>
              </w:rPr>
            </w:pPr>
            <w:r>
              <w:rPr>
                <w:rFonts w:hint="eastAsia" w:ascii="宋体" w:hAnsi="宋体" w:cs="宋体"/>
                <w:kern w:val="0"/>
                <w:szCs w:val="21"/>
              </w:rPr>
              <w:t>939313</w:t>
            </w:r>
          </w:p>
        </w:tc>
      </w:tr>
    </w:tbl>
    <w:p>
      <w:pPr>
        <w:ind w:firstLine="640" w:firstLineChars="200"/>
        <w:rPr>
          <w:rFonts w:hint="eastAsia" w:ascii="仿宋_GB2312" w:eastAsia="仿宋_GB2312"/>
          <w:sz w:val="32"/>
          <w:szCs w:val="32"/>
        </w:rPr>
      </w:pPr>
      <w:r>
        <w:rPr>
          <w:rFonts w:hint="eastAsia" w:ascii="仿宋_GB2312" w:eastAsia="仿宋_GB2312"/>
          <w:sz w:val="32"/>
          <w:szCs w:val="32"/>
        </w:rPr>
        <w:t>全年全国文化部门所属艺术表演团体共组织政府采购公益演出13.87万场，比上年增长27.8%；观众1.22亿人次，增长23.1%。利用流动舞台车演出11.71万场次，增长10.3%；观众10661.15万人次，增长7.7%。</w:t>
      </w:r>
    </w:p>
    <w:p>
      <w:pPr>
        <w:ind w:firstLine="640" w:firstLineChars="200"/>
        <w:rPr>
          <w:rFonts w:hint="eastAsia" w:ascii="仿宋_GB2312" w:eastAsia="仿宋_GB2312"/>
          <w:sz w:val="32"/>
          <w:szCs w:val="32"/>
        </w:rPr>
      </w:pPr>
      <w:r>
        <w:rPr>
          <w:rFonts w:hint="eastAsia" w:ascii="仿宋_GB2312" w:eastAsia="仿宋_GB2312"/>
          <w:sz w:val="32"/>
          <w:szCs w:val="32"/>
        </w:rPr>
        <w:t>年末全国共有艺术表演场馆2143个，观众坐席数178.67万个。各级文化部门所属艺术表演场馆1264个，比上年增加16个，观众坐席数89.90万个，比上年减少2.08万个；全年共举行艺术演出5.45万场次，比上年增长7.3%；艺术演出观众人次2388.11万人次，增长11.3%。</w:t>
      </w:r>
    </w:p>
    <w:p>
      <w:pPr>
        <w:ind w:firstLine="640" w:firstLineChars="200"/>
        <w:rPr>
          <w:rFonts w:hint="eastAsia" w:ascii="仿宋_GB2312" w:eastAsia="仿宋_GB2312"/>
          <w:sz w:val="32"/>
          <w:szCs w:val="32"/>
        </w:rPr>
      </w:pPr>
      <w:r>
        <w:rPr>
          <w:rFonts w:hint="eastAsia" w:ascii="仿宋_GB2312" w:eastAsia="仿宋_GB2312"/>
          <w:sz w:val="32"/>
          <w:szCs w:val="32"/>
        </w:rPr>
        <w:t>年末全国共有国有美术馆408个，比上年末增加44个，从业人员3978人，增加404人。全年共举办展览5121次，比上年增长7.2%，参观人次3053万人次，增长6.7%。</w:t>
      </w:r>
    </w:p>
    <w:p>
      <w:pPr>
        <w:spacing w:line="560" w:lineRule="exact"/>
        <w:ind w:firstLine="640" w:firstLineChars="200"/>
        <w:rPr>
          <w:rFonts w:hint="eastAsia" w:ascii="黑体" w:hAnsi="仿宋_GB2312" w:eastAsia="黑体"/>
          <w:sz w:val="32"/>
          <w:szCs w:val="32"/>
        </w:rPr>
      </w:pPr>
      <w:r>
        <w:rPr>
          <w:rFonts w:hint="eastAsia" w:ascii="黑体" w:hAnsi="仿宋_GB2312" w:eastAsia="黑体"/>
          <w:sz w:val="32"/>
          <w:szCs w:val="32"/>
        </w:rPr>
        <w:t>三、公共文化服务体系</w:t>
      </w:r>
    </w:p>
    <w:p>
      <w:pPr>
        <w:ind w:firstLine="640" w:firstLineChars="200"/>
        <w:rPr>
          <w:rFonts w:hint="eastAsia" w:ascii="仿宋_GB2312" w:eastAsia="仿宋_GB2312"/>
          <w:sz w:val="32"/>
          <w:szCs w:val="32"/>
        </w:rPr>
      </w:pPr>
      <w:r>
        <w:rPr>
          <w:rFonts w:hint="eastAsia" w:ascii="仿宋_GB2312" w:eastAsia="仿宋_GB2312"/>
          <w:sz w:val="32"/>
          <w:szCs w:val="32"/>
        </w:rPr>
        <w:t>2015年，文化部通过完善顶层设计，切实推进基本公共文化服务标准化均等化。积极推动出台《关于加快构建现代公共文化服务体系的意见》、《关于推进基层综合性文化服务中心建设的指导意见》和《“十三五”时期贫困地区公共文化服务体系建设规划纲要》等文件，为全国公共文化事业的发展提供了有力保障。推动出台《关于做好政府向社会力量购买公共文化服务工作的意见》，引导社会力量参与公共文化服务体系建设。</w:t>
      </w:r>
    </w:p>
    <w:p>
      <w:pPr>
        <w:spacing w:line="560" w:lineRule="exact"/>
        <w:ind w:firstLine="643" w:firstLineChars="200"/>
        <w:rPr>
          <w:rFonts w:hint="eastAsia" w:ascii="仿宋_GB2312" w:hAnsi="仿宋_GB2312" w:eastAsia="仿宋_GB2312"/>
          <w:sz w:val="32"/>
          <w:szCs w:val="32"/>
        </w:rPr>
      </w:pPr>
      <w:r>
        <w:rPr>
          <w:rFonts w:hint="eastAsia" w:ascii="楷体_GB2312" w:hAnsi="仿宋_GB2312" w:eastAsia="楷体_GB2312"/>
          <w:b/>
          <w:sz w:val="32"/>
          <w:szCs w:val="32"/>
        </w:rPr>
        <w:t>（一）公共图书馆</w:t>
      </w:r>
      <w:r>
        <w:rPr>
          <w:rFonts w:hint="eastAsia"/>
          <w:szCs w:val="21"/>
          <w:vertAlign w:val="superscript"/>
        </w:rPr>
        <w:t>[5]</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年末全国共有公共图书馆3139个，比上年末增加22个。其中少儿图书馆113个，增加5个。年末全国公共图书馆从业人员56422人，比上年末增加351人。其中具有高级职称的人员5746人，占10.2%；具有中级职称的人员18475人，占32.7%。</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年末全国公共图书馆实际使用房屋建筑面积1316.76万平方米，比上年末增长6.9%；图书总藏量</w:t>
      </w:r>
      <w:r>
        <w:rPr>
          <w:rFonts w:hint="eastAsia"/>
          <w:szCs w:val="21"/>
          <w:vertAlign w:val="superscript"/>
        </w:rPr>
        <w:t>[6]</w:t>
      </w:r>
      <w:r>
        <w:rPr>
          <w:rFonts w:hint="eastAsia" w:ascii="仿宋_GB2312" w:hAnsi="仿宋_GB2312" w:eastAsia="仿宋_GB2312"/>
          <w:sz w:val="32"/>
          <w:szCs w:val="32"/>
        </w:rPr>
        <w:t>83844万册，增长6.0%，</w:t>
      </w:r>
      <w:r>
        <w:rPr>
          <w:rFonts w:hint="eastAsia" w:ascii="仿宋_GB2312" w:eastAsia="仿宋_GB2312"/>
          <w:sz w:val="32"/>
          <w:szCs w:val="32"/>
        </w:rPr>
        <w:t>其中古籍2712万册</w:t>
      </w:r>
      <w:r>
        <w:rPr>
          <w:rFonts w:hint="eastAsia" w:ascii="仿宋_GB2312" w:hAnsi="仿宋_GB2312" w:eastAsia="仿宋_GB2312"/>
          <w:sz w:val="32"/>
          <w:szCs w:val="32"/>
        </w:rPr>
        <w:t>；电子图书83041万册，增长63.9%；</w:t>
      </w:r>
      <w:r>
        <w:rPr>
          <w:rFonts w:ascii="仿宋_GB2312" w:hAnsi="仿宋_GB2312" w:eastAsia="仿宋_GB2312"/>
          <w:sz w:val="32"/>
          <w:szCs w:val="32"/>
        </w:rPr>
        <w:t>阅览室座席数</w:t>
      </w:r>
      <w:r>
        <w:rPr>
          <w:rFonts w:hint="eastAsia" w:ascii="仿宋_GB2312" w:hAnsi="仿宋_GB2312" w:eastAsia="仿宋_GB2312"/>
          <w:sz w:val="32"/>
          <w:szCs w:val="32"/>
        </w:rPr>
        <w:t>91.07</w:t>
      </w:r>
      <w:r>
        <w:rPr>
          <w:rFonts w:ascii="仿宋_GB2312" w:hAnsi="仿宋_GB2312" w:eastAsia="仿宋_GB2312"/>
          <w:sz w:val="32"/>
          <w:szCs w:val="32"/>
        </w:rPr>
        <w:t>万个</w:t>
      </w:r>
      <w:r>
        <w:rPr>
          <w:rFonts w:hint="eastAsia" w:ascii="仿宋_GB2312" w:hAnsi="仿宋_GB2312" w:eastAsia="仿宋_GB2312"/>
          <w:sz w:val="32"/>
          <w:szCs w:val="32"/>
        </w:rPr>
        <w:t>，增长6.5%；计算机21.18万台，增长6.6%；供读者使用的电子阅览终端12.67万台，增长4.2%。</w:t>
      </w:r>
    </w:p>
    <w:p>
      <w:pPr>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年末全国平均每万人公共图书馆建筑面积95.8平方米，比上年末增加5.8平方米；全国人均图书藏量0.61册，增加0.03册；全年全国人均购书费1.43元，比上年增加0.19元。</w:t>
      </w:r>
    </w:p>
    <w:p>
      <w:pPr>
        <w:jc w:val="center"/>
        <w:rPr>
          <w:rFonts w:hint="eastAsia" w:ascii="仿宋_GB2312" w:hAnsi="仿宋_GB2312" w:eastAsia="仿宋_GB2312" w:cs="仿宋_GB2312"/>
          <w:color w:val="000000"/>
          <w:sz w:val="32"/>
          <w:szCs w:val="32"/>
          <w:shd w:val="clear" w:color="auto" w:fill="FFFFFF"/>
        </w:rPr>
      </w:pPr>
      <w:r>
        <w:drawing>
          <wp:inline distT="0" distB="0" distL="114300" distR="114300">
            <wp:extent cx="5269230" cy="2684145"/>
            <wp:effectExtent l="0" t="0" r="7620" b="19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全年全国公共图书馆发放借书证</w:t>
      </w:r>
      <w:r>
        <w:rPr>
          <w:rFonts w:hint="eastAsia"/>
          <w:szCs w:val="21"/>
          <w:vertAlign w:val="superscript"/>
        </w:rPr>
        <w:t>[7]</w:t>
      </w:r>
      <w:r>
        <w:rPr>
          <w:rFonts w:hint="eastAsia" w:ascii="仿宋_GB2312" w:eastAsia="仿宋_GB2312"/>
          <w:sz w:val="32"/>
          <w:szCs w:val="32"/>
        </w:rPr>
        <w:t>5721万个，比上年增长45.1%；总流通人次</w:t>
      </w:r>
      <w:r>
        <w:rPr>
          <w:rFonts w:hint="eastAsia"/>
          <w:szCs w:val="21"/>
          <w:vertAlign w:val="superscript"/>
        </w:rPr>
        <w:t>[8]</w:t>
      </w:r>
      <w:r>
        <w:rPr>
          <w:rFonts w:hint="eastAsia" w:ascii="仿宋_GB2312" w:eastAsia="仿宋_GB2312"/>
          <w:sz w:val="32"/>
          <w:szCs w:val="32"/>
        </w:rPr>
        <w:t>58892万，增长11.0%。书刊文献外借册次50896万，增长8.9%；外借人次23085万，增长1.5%。全年共为读者举办各种活动114544次，增长10.6%；参加人次5908万，增长17.8%。</w:t>
      </w: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630" w:firstLineChars="196"/>
        <w:rPr>
          <w:rFonts w:hint="eastAsia" w:ascii="仿宋_GB2312" w:eastAsia="仿宋_GB2312"/>
          <w:b/>
          <w:sz w:val="32"/>
          <w:szCs w:val="32"/>
        </w:rPr>
      </w:pPr>
    </w:p>
    <w:p>
      <w:pPr>
        <w:adjustRightInd w:val="0"/>
        <w:spacing w:line="560" w:lineRule="exact"/>
        <w:ind w:firstLine="411" w:firstLineChars="196"/>
        <w:rPr>
          <w:rFonts w:hint="eastAsia" w:ascii="仿宋_GB2312" w:eastAsia="仿宋_GB2312"/>
          <w:b/>
          <w:sz w:val="32"/>
          <w:szCs w:val="32"/>
        </w:rPr>
      </w:pPr>
      <w:r>
        <w:rPr>
          <w:lang/>
        </w:rPr>
        <w:drawing>
          <wp:anchor distT="0" distB="0" distL="114300" distR="114300" simplePos="0" relativeHeight="251661312" behindDoc="1" locked="0" layoutInCell="1" allowOverlap="1">
            <wp:simplePos x="0" y="0"/>
            <wp:positionH relativeFrom="column">
              <wp:posOffset>255905</wp:posOffset>
            </wp:positionH>
            <wp:positionV relativeFrom="paragraph">
              <wp:posOffset>-2397760</wp:posOffset>
            </wp:positionV>
            <wp:extent cx="5267325" cy="2686050"/>
            <wp:effectExtent l="0" t="0" r="9525" b="0"/>
            <wp:wrapTight wrapText="bothSides">
              <wp:wrapPolygon>
                <wp:start x="78" y="306"/>
                <wp:lineTo x="78" y="21217"/>
                <wp:lineTo x="21444" y="21217"/>
                <wp:lineTo x="21444" y="306"/>
                <wp:lineTo x="78" y="306"/>
              </wp:wrapPolygon>
            </wp:wrapTight>
            <wp:docPr id="3"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40"/>
                    <pic:cNvPicPr>
                      <a:picLocks noChangeAspect="1"/>
                    </pic:cNvPicPr>
                  </pic:nvPicPr>
                  <pic:blipFill>
                    <a:blip r:embed="rId8"/>
                    <a:stretch>
                      <a:fillRect/>
                    </a:stretch>
                  </pic:blipFill>
                  <pic:spPr>
                    <a:xfrm>
                      <a:off x="0" y="0"/>
                      <a:ext cx="5267325" cy="2686050"/>
                    </a:xfrm>
                    <a:prstGeom prst="rect">
                      <a:avLst/>
                    </a:prstGeom>
                    <a:noFill/>
                    <a:ln>
                      <a:noFill/>
                    </a:ln>
                  </pic:spPr>
                </pic:pic>
              </a:graphicData>
            </a:graphic>
          </wp:anchor>
        </w:drawing>
      </w:r>
    </w:p>
    <w:p>
      <w:pPr>
        <w:adjustRightInd w:val="0"/>
        <w:spacing w:line="560" w:lineRule="exact"/>
        <w:ind w:firstLine="630" w:firstLineChars="196"/>
        <w:rPr>
          <w:rFonts w:hint="eastAsia" w:ascii="仿宋_GB2312" w:eastAsia="仿宋_GB2312"/>
          <w:b/>
          <w:sz w:val="32"/>
          <w:szCs w:val="32"/>
        </w:rPr>
      </w:pPr>
      <w:r>
        <w:rPr>
          <w:rFonts w:hint="eastAsia" w:ascii="仿宋_GB2312" w:eastAsia="仿宋_GB2312"/>
          <w:b/>
          <w:sz w:val="32"/>
          <w:szCs w:val="32"/>
        </w:rPr>
        <w:t>（二）群众文化机构</w:t>
      </w:r>
      <w:r>
        <w:rPr>
          <w:rFonts w:hint="eastAsia"/>
          <w:szCs w:val="21"/>
          <w:vertAlign w:val="superscript"/>
        </w:rPr>
        <w:t>[9]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共有群众文化机构44291个，比上年末减少132个。其中乡镇综合文化站34239个，减少226个。年末全国群众文化机构从业人员173499人，比上年末增加3200人。其中具有高级职称的人员5893人，占3.4%；具有中级职称的人员16898人，占9.7%。</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群众文化机构实际使用房屋建筑面积3848.27万平方米，比上年末增长4.4%；藏书2.62亿册，增长5.6%；计算机36.14万台，增长4.2%；对公众开放的阅览室109.23万平方米，增长1.1%。年末全国平均每万人群众文化设施建筑面积279.95平方米，比上年末提高10.44平方米。</w:t>
      </w:r>
    </w:p>
    <w:p>
      <w:pPr>
        <w:spacing w:line="560" w:lineRule="exact"/>
        <w:ind w:firstLine="630" w:firstLineChars="300"/>
        <w:rPr>
          <w:rFonts w:hint="eastAsia" w:ascii="仿宋_GB2312" w:eastAsia="仿宋_GB2312"/>
          <w:sz w:val="32"/>
          <w:szCs w:val="32"/>
        </w:rPr>
      </w:pPr>
      <w:r>
        <w:rPr>
          <w:lang/>
        </w:rPr>
        <w:drawing>
          <wp:anchor distT="0" distB="0" distL="114300" distR="114300" simplePos="0" relativeHeight="251659264" behindDoc="1" locked="0" layoutInCell="1" allowOverlap="0">
            <wp:simplePos x="0" y="0"/>
            <wp:positionH relativeFrom="column">
              <wp:posOffset>0</wp:posOffset>
            </wp:positionH>
            <wp:positionV relativeFrom="paragraph">
              <wp:posOffset>198120</wp:posOffset>
            </wp:positionV>
            <wp:extent cx="5267325" cy="2686050"/>
            <wp:effectExtent l="0" t="0" r="9525" b="0"/>
            <wp:wrapTight wrapText="bothSides">
              <wp:wrapPolygon>
                <wp:start x="78" y="306"/>
                <wp:lineTo x="78" y="21217"/>
                <wp:lineTo x="21444" y="21217"/>
                <wp:lineTo x="21444" y="306"/>
                <wp:lineTo x="78" y="306"/>
              </wp:wrapPolygon>
            </wp:wrapTight>
            <wp:docPr id="1"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35"/>
                    <pic:cNvPicPr>
                      <a:picLocks noChangeAspect="1"/>
                    </pic:cNvPicPr>
                  </pic:nvPicPr>
                  <pic:blipFill>
                    <a:blip r:embed="rId9"/>
                    <a:stretch>
                      <a:fillRect/>
                    </a:stretch>
                  </pic:blipFill>
                  <pic:spPr>
                    <a:xfrm>
                      <a:off x="0" y="0"/>
                      <a:ext cx="5267325" cy="2686050"/>
                    </a:xfrm>
                    <a:prstGeom prst="rect">
                      <a:avLst/>
                    </a:prstGeom>
                    <a:noFill/>
                    <a:ln>
                      <a:noFill/>
                    </a:ln>
                  </pic:spPr>
                </pic:pic>
              </a:graphicData>
            </a:graphic>
          </wp:anchor>
        </w:drawing>
      </w:r>
      <w:r>
        <w:rPr>
          <w:rFonts w:hint="eastAsia" w:ascii="仿宋_GB2312" w:eastAsia="仿宋_GB2312"/>
          <w:sz w:val="32"/>
          <w:szCs w:val="32"/>
        </w:rPr>
        <w:t>全年全国群众文化机构共组织开展各类文化活动</w:t>
      </w:r>
      <w:r>
        <w:rPr>
          <w:rFonts w:hint="eastAsia"/>
          <w:szCs w:val="21"/>
          <w:vertAlign w:val="superscript"/>
        </w:rPr>
        <w:t>[10]</w:t>
      </w:r>
      <w:r>
        <w:rPr>
          <w:rFonts w:hint="eastAsia" w:ascii="仿宋_GB2312" w:eastAsia="仿宋_GB2312"/>
          <w:sz w:val="32"/>
          <w:szCs w:val="32"/>
        </w:rPr>
        <w:t>166.39万场次，比上年增长13.0%；服务人次54827万，增长8.2%。</w:t>
      </w:r>
    </w:p>
    <w:p>
      <w:pPr>
        <w:spacing w:line="560" w:lineRule="exact"/>
        <w:ind w:firstLine="480" w:firstLineChars="200"/>
        <w:jc w:val="center"/>
        <w:rPr>
          <w:rFonts w:hint="eastAsia" w:ascii="仿宋_GB2312" w:eastAsia="仿宋_GB2312"/>
          <w:sz w:val="32"/>
          <w:szCs w:val="32"/>
        </w:rPr>
      </w:pPr>
      <w:r>
        <w:rPr>
          <w:rFonts w:hint="eastAsia" w:ascii="黑体" w:eastAsia="黑体"/>
          <w:sz w:val="24"/>
        </w:rPr>
        <w:t>2015年全国群众文化机构开展活动情况</w:t>
      </w:r>
    </w:p>
    <w:tbl>
      <w:tblPr>
        <w:tblStyle w:val="5"/>
        <w:tblW w:w="8289" w:type="dxa"/>
        <w:jc w:val="center"/>
        <w:tblLayout w:type="fixed"/>
        <w:tblCellMar>
          <w:top w:w="0" w:type="dxa"/>
          <w:left w:w="108" w:type="dxa"/>
          <w:bottom w:w="0" w:type="dxa"/>
          <w:right w:w="108" w:type="dxa"/>
        </w:tblCellMar>
      </w:tblPr>
      <w:tblGrid>
        <w:gridCol w:w="2186"/>
        <w:gridCol w:w="1525"/>
        <w:gridCol w:w="1526"/>
        <w:gridCol w:w="1526"/>
        <w:gridCol w:w="1526"/>
      </w:tblGrid>
      <w:tr>
        <w:tblPrEx>
          <w:tblCellMar>
            <w:top w:w="0" w:type="dxa"/>
            <w:left w:w="108" w:type="dxa"/>
            <w:bottom w:w="0" w:type="dxa"/>
            <w:right w:w="108" w:type="dxa"/>
          </w:tblCellMar>
        </w:tblPrEx>
        <w:trPr>
          <w:wBefore w:w="0" w:type="dxa"/>
          <w:wAfter w:w="0" w:type="dxa"/>
          <w:trHeight w:val="305" w:hRule="atLeast"/>
          <w:jc w:val="center"/>
        </w:trPr>
        <w:tc>
          <w:tcPr>
            <w:tcW w:w="21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305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总量</w:t>
            </w:r>
          </w:p>
        </w:tc>
        <w:tc>
          <w:tcPr>
            <w:tcW w:w="30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比上年增长（%）</w:t>
            </w:r>
          </w:p>
        </w:tc>
      </w:tr>
      <w:tr>
        <w:tblPrEx>
          <w:tblCellMar>
            <w:top w:w="0" w:type="dxa"/>
            <w:left w:w="108" w:type="dxa"/>
            <w:bottom w:w="0" w:type="dxa"/>
            <w:right w:w="108" w:type="dxa"/>
          </w:tblCellMar>
        </w:tblPrEx>
        <w:trPr>
          <w:wBefore w:w="0" w:type="dxa"/>
          <w:wAfter w:w="0" w:type="dxa"/>
          <w:trHeight w:val="615" w:hRule="atLeast"/>
          <w:jc w:val="center"/>
        </w:trPr>
        <w:tc>
          <w:tcPr>
            <w:tcW w:w="2186"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4"/>
              </w:rPr>
            </w:pPr>
          </w:p>
        </w:tc>
        <w:tc>
          <w:tcPr>
            <w:tcW w:w="152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活动次数（万次）</w:t>
            </w:r>
          </w:p>
        </w:tc>
        <w:tc>
          <w:tcPr>
            <w:tcW w:w="152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服务人数（万人次）</w:t>
            </w:r>
          </w:p>
        </w:tc>
        <w:tc>
          <w:tcPr>
            <w:tcW w:w="15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活动次数</w:t>
            </w:r>
          </w:p>
        </w:tc>
        <w:tc>
          <w:tcPr>
            <w:tcW w:w="15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服务人次</w:t>
            </w:r>
          </w:p>
        </w:tc>
      </w:tr>
      <w:tr>
        <w:tblPrEx>
          <w:tblCellMar>
            <w:top w:w="0" w:type="dxa"/>
            <w:left w:w="108" w:type="dxa"/>
            <w:bottom w:w="0" w:type="dxa"/>
            <w:right w:w="108" w:type="dxa"/>
          </w:tblCellMar>
        </w:tblPrEx>
        <w:trPr>
          <w:wBefore w:w="0" w:type="dxa"/>
          <w:wAfter w:w="0" w:type="dxa"/>
          <w:trHeight w:val="345" w:hRule="atLeast"/>
          <w:jc w:val="center"/>
        </w:trPr>
        <w:tc>
          <w:tcPr>
            <w:tcW w:w="21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kern w:val="0"/>
                <w:sz w:val="24"/>
              </w:rPr>
            </w:pPr>
            <w:r>
              <w:rPr>
                <w:rFonts w:hint="eastAsia" w:ascii="宋体" w:hAnsi="宋体" w:cs="宋体"/>
                <w:b/>
                <w:kern w:val="0"/>
                <w:sz w:val="24"/>
              </w:rPr>
              <w:t>各项活动总计</w:t>
            </w:r>
          </w:p>
        </w:tc>
        <w:tc>
          <w:tcPr>
            <w:tcW w:w="1525"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b/>
                <w:bCs/>
                <w:sz w:val="24"/>
              </w:rPr>
            </w:pPr>
            <w:r>
              <w:rPr>
                <w:rFonts w:hint="eastAsia" w:ascii="宋体" w:hAnsi="宋体" w:cs="宋体"/>
                <w:b/>
                <w:bCs/>
                <w:sz w:val="24"/>
              </w:rPr>
              <w:t>166.39</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b/>
                <w:bCs/>
                <w:sz w:val="24"/>
              </w:rPr>
            </w:pPr>
            <w:r>
              <w:rPr>
                <w:rFonts w:hint="eastAsia" w:ascii="宋体" w:hAnsi="宋体" w:cs="宋体"/>
                <w:b/>
                <w:bCs/>
                <w:sz w:val="24"/>
              </w:rPr>
              <w:t>54827</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b/>
                <w:bCs/>
                <w:sz w:val="24"/>
              </w:rPr>
            </w:pPr>
            <w:r>
              <w:rPr>
                <w:rFonts w:hint="eastAsia" w:ascii="宋体" w:hAnsi="宋体" w:cs="宋体"/>
                <w:b/>
                <w:bCs/>
                <w:sz w:val="24"/>
              </w:rPr>
              <w:t>13.0</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b/>
                <w:bCs/>
                <w:sz w:val="24"/>
              </w:rPr>
            </w:pPr>
            <w:r>
              <w:rPr>
                <w:rFonts w:hint="eastAsia" w:ascii="宋体" w:hAnsi="宋体" w:cs="宋体"/>
                <w:b/>
                <w:bCs/>
                <w:sz w:val="24"/>
              </w:rPr>
              <w:t>8.2</w:t>
            </w:r>
          </w:p>
        </w:tc>
      </w:tr>
      <w:tr>
        <w:tblPrEx>
          <w:tblCellMar>
            <w:top w:w="0" w:type="dxa"/>
            <w:left w:w="108" w:type="dxa"/>
            <w:bottom w:w="0" w:type="dxa"/>
            <w:right w:w="108" w:type="dxa"/>
          </w:tblCellMar>
        </w:tblPrEx>
        <w:trPr>
          <w:wBefore w:w="0" w:type="dxa"/>
          <w:wAfter w:w="0" w:type="dxa"/>
          <w:trHeight w:val="345" w:hRule="atLeast"/>
          <w:jc w:val="center"/>
        </w:trPr>
        <w:tc>
          <w:tcPr>
            <w:tcW w:w="21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其中：展览</w:t>
            </w:r>
          </w:p>
        </w:tc>
        <w:tc>
          <w:tcPr>
            <w:tcW w:w="1525"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13.98</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10752</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6.2</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4.8</w:t>
            </w:r>
          </w:p>
        </w:tc>
      </w:tr>
      <w:tr>
        <w:tblPrEx>
          <w:tblCellMar>
            <w:top w:w="0" w:type="dxa"/>
            <w:left w:w="108" w:type="dxa"/>
            <w:bottom w:w="0" w:type="dxa"/>
            <w:right w:w="108" w:type="dxa"/>
          </w:tblCellMar>
        </w:tblPrEx>
        <w:trPr>
          <w:wBefore w:w="0" w:type="dxa"/>
          <w:wAfter w:w="0" w:type="dxa"/>
          <w:trHeight w:val="345" w:hRule="atLeast"/>
          <w:jc w:val="center"/>
        </w:trPr>
        <w:tc>
          <w:tcPr>
            <w:tcW w:w="2186" w:type="dxa"/>
            <w:tcBorders>
              <w:top w:val="nil"/>
              <w:left w:val="single" w:color="auto" w:sz="4" w:space="0"/>
              <w:bottom w:val="single" w:color="auto" w:sz="4" w:space="0"/>
              <w:right w:val="single" w:color="auto" w:sz="4" w:space="0"/>
            </w:tcBorders>
            <w:shd w:val="clear" w:color="auto" w:fill="auto"/>
            <w:noWrap/>
            <w:vAlign w:val="center"/>
          </w:tcPr>
          <w:p>
            <w:pPr>
              <w:widowControl/>
              <w:ind w:firstLine="600" w:firstLineChars="250"/>
              <w:jc w:val="left"/>
              <w:rPr>
                <w:rFonts w:ascii="宋体" w:hAnsi="宋体" w:cs="宋体"/>
                <w:kern w:val="0"/>
                <w:sz w:val="24"/>
              </w:rPr>
            </w:pPr>
            <w:r>
              <w:rPr>
                <w:rFonts w:hint="eastAsia" w:ascii="宋体" w:hAnsi="宋体" w:cs="宋体"/>
                <w:kern w:val="0"/>
                <w:sz w:val="24"/>
              </w:rPr>
              <w:t xml:space="preserve"> 文艺活动</w:t>
            </w:r>
          </w:p>
        </w:tc>
        <w:tc>
          <w:tcPr>
            <w:tcW w:w="1525"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95.99</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39728</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13.5</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9.2</w:t>
            </w:r>
          </w:p>
        </w:tc>
      </w:tr>
      <w:tr>
        <w:tblPrEx>
          <w:tblCellMar>
            <w:top w:w="0" w:type="dxa"/>
            <w:left w:w="108" w:type="dxa"/>
            <w:bottom w:w="0" w:type="dxa"/>
            <w:right w:w="108" w:type="dxa"/>
          </w:tblCellMar>
        </w:tblPrEx>
        <w:trPr>
          <w:wBefore w:w="0" w:type="dxa"/>
          <w:wAfter w:w="0" w:type="dxa"/>
          <w:trHeight w:val="345" w:hRule="atLeast"/>
          <w:jc w:val="center"/>
        </w:trPr>
        <w:tc>
          <w:tcPr>
            <w:tcW w:w="21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公益性讲座</w:t>
            </w:r>
          </w:p>
        </w:tc>
        <w:tc>
          <w:tcPr>
            <w:tcW w:w="1525"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2.79</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478</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9.0</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7.4</w:t>
            </w:r>
          </w:p>
        </w:tc>
      </w:tr>
      <w:tr>
        <w:tblPrEx>
          <w:tblCellMar>
            <w:top w:w="0" w:type="dxa"/>
            <w:left w:w="108" w:type="dxa"/>
            <w:bottom w:w="0" w:type="dxa"/>
            <w:right w:w="108" w:type="dxa"/>
          </w:tblCellMar>
        </w:tblPrEx>
        <w:trPr>
          <w:wBefore w:w="0" w:type="dxa"/>
          <w:wAfter w:w="0" w:type="dxa"/>
          <w:trHeight w:val="345" w:hRule="atLeast"/>
          <w:jc w:val="center"/>
        </w:trPr>
        <w:tc>
          <w:tcPr>
            <w:tcW w:w="21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      训练班</w:t>
            </w:r>
          </w:p>
        </w:tc>
        <w:tc>
          <w:tcPr>
            <w:tcW w:w="1525"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53.63</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3868</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14.3</w:t>
            </w:r>
          </w:p>
        </w:tc>
        <w:tc>
          <w:tcPr>
            <w:tcW w:w="1526" w:type="dxa"/>
            <w:tcBorders>
              <w:top w:val="nil"/>
              <w:left w:val="nil"/>
              <w:bottom w:val="single" w:color="auto" w:sz="4" w:space="0"/>
              <w:right w:val="single" w:color="auto" w:sz="4" w:space="0"/>
            </w:tcBorders>
            <w:shd w:val="clear" w:color="auto" w:fill="auto"/>
            <w:noWrap/>
            <w:vAlign w:val="bottom"/>
          </w:tcPr>
          <w:p>
            <w:pPr>
              <w:jc w:val="right"/>
              <w:rPr>
                <w:rFonts w:hint="eastAsia" w:ascii="宋体" w:hAnsi="宋体" w:cs="宋体"/>
                <w:sz w:val="24"/>
              </w:rPr>
            </w:pPr>
            <w:r>
              <w:rPr>
                <w:rFonts w:hint="eastAsia" w:ascii="宋体" w:hAnsi="宋体" w:cs="宋体"/>
                <w:sz w:val="24"/>
              </w:rPr>
              <w:t>8.1</w:t>
            </w: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年末全国群众文化机构共有馆办文艺团体</w:t>
      </w:r>
      <w:r>
        <w:rPr>
          <w:rFonts w:hint="eastAsia"/>
          <w:szCs w:val="21"/>
          <w:vertAlign w:val="superscript"/>
        </w:rPr>
        <w:t>[11]</w:t>
      </w:r>
      <w:r>
        <w:rPr>
          <w:rFonts w:hint="eastAsia" w:ascii="仿宋_GB2312" w:eastAsia="仿宋_GB2312"/>
          <w:sz w:val="32"/>
          <w:szCs w:val="32"/>
        </w:rPr>
        <w:t>7618个，演出15.23万场，观众8430万人次。由文化馆（站）指导的群众业余文艺团体38.32万个，馆办老年大学853个。</w:t>
      </w:r>
    </w:p>
    <w:p>
      <w:pPr>
        <w:spacing w:line="560" w:lineRule="exact"/>
        <w:ind w:firstLine="640" w:firstLineChars="200"/>
        <w:rPr>
          <w:rFonts w:hint="eastAsia" w:ascii="黑体" w:eastAsia="黑体"/>
          <w:sz w:val="32"/>
          <w:szCs w:val="32"/>
        </w:rPr>
      </w:pPr>
      <w:r>
        <w:rPr>
          <w:rFonts w:hint="eastAsia" w:ascii="黑体" w:eastAsia="黑体"/>
          <w:sz w:val="32"/>
          <w:szCs w:val="32"/>
        </w:rPr>
        <w:t>四、文化市场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年末全国文化市场经营单位</w:t>
      </w:r>
      <w:r>
        <w:rPr>
          <w:rFonts w:hint="eastAsia"/>
          <w:szCs w:val="21"/>
          <w:vertAlign w:val="superscript"/>
        </w:rPr>
        <w:t>[12]</w:t>
      </w:r>
      <w:r>
        <w:rPr>
          <w:rFonts w:hint="eastAsia" w:ascii="仿宋_GB2312" w:eastAsia="仿宋_GB2312"/>
          <w:sz w:val="32"/>
          <w:szCs w:val="32"/>
        </w:rPr>
        <w:t xml:space="preserve"> 23.17万家，比上年末增加1.15万家；从业人员156.47万人，增加24.08万人。全年全国文化市场经营单位营业总收入2965.64亿元，营业利润1002.10亿元。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分区域看，年末城市文化市场经营单位83598个，占文化市场经营单位总量的36.1%；县城93228个，占40.2%;县以下地区54883个，占23.7%。</w:t>
      </w:r>
    </w:p>
    <w:p>
      <w:pPr>
        <w:jc w:val="center"/>
        <w:rPr>
          <w:rFonts w:hint="eastAsia" w:ascii="黑体" w:eastAsia="黑体"/>
          <w:sz w:val="24"/>
        </w:rPr>
      </w:pPr>
      <w:r>
        <w:rPr>
          <w:rFonts w:hint="eastAsia" w:ascii="黑体" w:eastAsia="黑体"/>
          <w:sz w:val="24"/>
        </w:rPr>
        <w:t>2015年按区域全国文化市场经营单位主要指标</w:t>
      </w:r>
    </w:p>
    <w:tbl>
      <w:tblPr>
        <w:tblStyle w:val="5"/>
        <w:tblW w:w="7145" w:type="dxa"/>
        <w:tblInd w:w="703" w:type="dxa"/>
        <w:tblLayout w:type="autofit"/>
        <w:tblCellMar>
          <w:top w:w="0" w:type="dxa"/>
          <w:left w:w="108" w:type="dxa"/>
          <w:bottom w:w="0" w:type="dxa"/>
          <w:right w:w="108" w:type="dxa"/>
        </w:tblCellMar>
      </w:tblPr>
      <w:tblGrid>
        <w:gridCol w:w="1100"/>
        <w:gridCol w:w="1340"/>
        <w:gridCol w:w="1100"/>
        <w:gridCol w:w="1100"/>
        <w:gridCol w:w="1245"/>
        <w:gridCol w:w="1260"/>
      </w:tblGrid>
      <w:tr>
        <w:tblPrEx>
          <w:tblCellMar>
            <w:top w:w="0" w:type="dxa"/>
            <w:left w:w="108" w:type="dxa"/>
            <w:bottom w:w="0" w:type="dxa"/>
            <w:right w:w="108" w:type="dxa"/>
          </w:tblCellMar>
        </w:tblPrEx>
        <w:trPr>
          <w:wBefore w:w="0" w:type="dxa"/>
          <w:wAfter w:w="0" w:type="dxa"/>
          <w:trHeight w:val="139" w:hRule="atLeast"/>
        </w:trPr>
        <w:tc>
          <w:tcPr>
            <w:tcW w:w="24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Arial" w:hAnsi="Arial" w:cs="Arial"/>
                <w:kern w:val="0"/>
                <w:sz w:val="20"/>
                <w:szCs w:val="20"/>
              </w:rPr>
            </w:pPr>
            <w:r>
              <w:rPr>
                <w:rFonts w:ascii="Arial" w:hAnsi="Arial" w:cs="Arial"/>
                <w:kern w:val="0"/>
                <w:sz w:val="20"/>
                <w:szCs w:val="20"/>
              </w:rPr>
              <w:t>　</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机构数（个）</w:t>
            </w:r>
          </w:p>
        </w:tc>
        <w:tc>
          <w:tcPr>
            <w:tcW w:w="110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从业人员数（人）</w:t>
            </w:r>
          </w:p>
        </w:tc>
        <w:tc>
          <w:tcPr>
            <w:tcW w:w="124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营业总收入（万元）</w:t>
            </w:r>
          </w:p>
        </w:tc>
        <w:tc>
          <w:tcPr>
            <w:tcW w:w="1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营业利润（万元）</w:t>
            </w:r>
          </w:p>
        </w:tc>
      </w:tr>
      <w:tr>
        <w:tblPrEx>
          <w:tblCellMar>
            <w:top w:w="0" w:type="dxa"/>
            <w:left w:w="108" w:type="dxa"/>
            <w:bottom w:w="0" w:type="dxa"/>
            <w:right w:w="108" w:type="dxa"/>
          </w:tblCellMar>
        </w:tblPrEx>
        <w:trPr>
          <w:wBefore w:w="0" w:type="dxa"/>
          <w:wAfter w:w="0" w:type="dxa"/>
          <w:trHeight w:val="133" w:hRule="atLeast"/>
        </w:trPr>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总量</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总计</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231709</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1564660</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29656346</w:t>
            </w:r>
          </w:p>
        </w:tc>
        <w:tc>
          <w:tcPr>
            <w:tcW w:w="126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10020910</w:t>
            </w:r>
          </w:p>
        </w:tc>
      </w:tr>
      <w:tr>
        <w:tblPrEx>
          <w:tblCellMar>
            <w:top w:w="0" w:type="dxa"/>
            <w:left w:w="108" w:type="dxa"/>
            <w:bottom w:w="0" w:type="dxa"/>
            <w:right w:w="108" w:type="dxa"/>
          </w:tblCellMar>
        </w:tblPrEx>
        <w:trPr>
          <w:wBefore w:w="0" w:type="dxa"/>
          <w:wAfter w:w="0" w:type="dxa"/>
          <w:trHeight w:val="70"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城市</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83598</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720371</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22838853</w:t>
            </w:r>
          </w:p>
        </w:tc>
        <w:tc>
          <w:tcPr>
            <w:tcW w:w="126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7965993</w:t>
            </w:r>
          </w:p>
        </w:tc>
      </w:tr>
      <w:tr>
        <w:tblPrEx>
          <w:tblCellMar>
            <w:top w:w="0" w:type="dxa"/>
            <w:left w:w="108" w:type="dxa"/>
            <w:bottom w:w="0" w:type="dxa"/>
            <w:right w:w="108" w:type="dxa"/>
          </w:tblCellMar>
        </w:tblPrEx>
        <w:trPr>
          <w:wBefore w:w="0" w:type="dxa"/>
          <w:wAfter w:w="0" w:type="dxa"/>
          <w:trHeight w:val="315"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县城</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93228</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653781</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5356224</w:t>
            </w:r>
          </w:p>
        </w:tc>
        <w:tc>
          <w:tcPr>
            <w:tcW w:w="126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1616637</w:t>
            </w:r>
          </w:p>
        </w:tc>
      </w:tr>
      <w:tr>
        <w:tblPrEx>
          <w:tblCellMar>
            <w:top w:w="0" w:type="dxa"/>
            <w:left w:w="108" w:type="dxa"/>
            <w:bottom w:w="0" w:type="dxa"/>
            <w:right w:w="108" w:type="dxa"/>
          </w:tblCellMar>
        </w:tblPrEx>
        <w:trPr>
          <w:wBefore w:w="0" w:type="dxa"/>
          <w:wAfter w:w="0" w:type="dxa"/>
          <w:trHeight w:val="315"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县以下</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54883</w:t>
            </w:r>
          </w:p>
        </w:tc>
        <w:tc>
          <w:tcPr>
            <w:tcW w:w="110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190508</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Cs/>
                <w:sz w:val="20"/>
                <w:szCs w:val="20"/>
              </w:rPr>
            </w:pPr>
            <w:r>
              <w:rPr>
                <w:rFonts w:hint="eastAsia" w:ascii="Arial" w:hAnsi="Arial" w:cs="Arial"/>
                <w:bCs/>
                <w:sz w:val="20"/>
                <w:szCs w:val="20"/>
              </w:rPr>
              <w:t>1461269</w:t>
            </w:r>
          </w:p>
        </w:tc>
        <w:tc>
          <w:tcPr>
            <w:tcW w:w="1260" w:type="dxa"/>
            <w:tcBorders>
              <w:top w:val="nil"/>
              <w:left w:val="nil"/>
              <w:bottom w:val="single" w:color="auto" w:sz="4" w:space="0"/>
              <w:right w:val="single" w:color="auto" w:sz="4" w:space="0"/>
            </w:tcBorders>
            <w:shd w:val="clear" w:color="auto" w:fill="auto"/>
            <w:noWrap/>
            <w:vAlign w:val="center"/>
          </w:tcPr>
          <w:p>
            <w:pPr>
              <w:jc w:val="right"/>
              <w:rPr>
                <w:rFonts w:hint="eastAsia" w:ascii="Arial" w:hAnsi="Arial" w:cs="Arial"/>
                <w:bCs/>
                <w:sz w:val="20"/>
                <w:szCs w:val="20"/>
              </w:rPr>
            </w:pPr>
            <w:r>
              <w:rPr>
                <w:rFonts w:hint="eastAsia" w:ascii="Arial" w:hAnsi="Arial" w:cs="Arial"/>
                <w:bCs/>
                <w:sz w:val="20"/>
                <w:szCs w:val="20"/>
              </w:rPr>
              <w:t>438280</w:t>
            </w:r>
          </w:p>
        </w:tc>
      </w:tr>
      <w:tr>
        <w:tblPrEx>
          <w:tblCellMar>
            <w:top w:w="0" w:type="dxa"/>
            <w:left w:w="108" w:type="dxa"/>
            <w:bottom w:w="0" w:type="dxa"/>
            <w:right w:w="108" w:type="dxa"/>
          </w:tblCellMar>
        </w:tblPrEx>
        <w:trPr>
          <w:wBefore w:w="0" w:type="dxa"/>
          <w:wAfter w:w="0" w:type="dxa"/>
          <w:trHeight w:val="315" w:hRule="atLeast"/>
        </w:trPr>
        <w:tc>
          <w:tcPr>
            <w:tcW w:w="11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比重</w:t>
            </w:r>
          </w:p>
          <w:p>
            <w:pPr>
              <w:widowControl/>
              <w:jc w:val="center"/>
              <w:rPr>
                <w:rFonts w:ascii="宋体" w:hAnsi="宋体" w:cs="宋体"/>
                <w:kern w:val="0"/>
                <w:sz w:val="20"/>
                <w:szCs w:val="20"/>
              </w:rPr>
            </w:pPr>
            <w:r>
              <w:rPr>
                <w:rFonts w:hint="eastAsia" w:ascii="宋体" w:hAnsi="宋体" w:cs="宋体"/>
                <w:kern w:val="0"/>
                <w:sz w:val="20"/>
                <w:szCs w:val="20"/>
              </w:rPr>
              <w:t>（%）</w:t>
            </w: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总计</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100.0</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100.0</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100.0</w:t>
            </w:r>
          </w:p>
        </w:tc>
        <w:tc>
          <w:tcPr>
            <w:tcW w:w="1260" w:type="dxa"/>
            <w:tcBorders>
              <w:top w:val="nil"/>
              <w:left w:val="nil"/>
              <w:bottom w:val="single" w:color="auto" w:sz="4" w:space="0"/>
              <w:right w:val="single" w:color="auto" w:sz="4" w:space="0"/>
            </w:tcBorders>
            <w:shd w:val="clear" w:color="auto" w:fill="auto"/>
            <w:noWrap/>
            <w:vAlign w:val="bottom"/>
          </w:tcPr>
          <w:p>
            <w:pPr>
              <w:jc w:val="right"/>
              <w:rPr>
                <w:rFonts w:hint="eastAsia" w:ascii="Arial" w:hAnsi="Arial" w:cs="Arial"/>
                <w:b/>
                <w:bCs/>
                <w:sz w:val="20"/>
                <w:szCs w:val="20"/>
              </w:rPr>
            </w:pPr>
            <w:r>
              <w:rPr>
                <w:rFonts w:hint="eastAsia" w:ascii="Arial" w:hAnsi="Arial" w:cs="Arial"/>
                <w:b/>
                <w:bCs/>
                <w:sz w:val="20"/>
                <w:szCs w:val="20"/>
              </w:rPr>
              <w:t>100.0</w:t>
            </w:r>
          </w:p>
        </w:tc>
      </w:tr>
      <w:tr>
        <w:tblPrEx>
          <w:tblCellMar>
            <w:top w:w="0" w:type="dxa"/>
            <w:left w:w="108" w:type="dxa"/>
            <w:bottom w:w="0" w:type="dxa"/>
            <w:right w:w="108" w:type="dxa"/>
          </w:tblCellMar>
        </w:tblPrEx>
        <w:trPr>
          <w:wBefore w:w="0" w:type="dxa"/>
          <w:wAfter w:w="0" w:type="dxa"/>
          <w:trHeight w:val="315"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城市</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36.1</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46.0</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77.0</w:t>
            </w:r>
          </w:p>
        </w:tc>
        <w:tc>
          <w:tcPr>
            <w:tcW w:w="126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79.5</w:t>
            </w:r>
          </w:p>
        </w:tc>
      </w:tr>
      <w:tr>
        <w:tblPrEx>
          <w:tblCellMar>
            <w:top w:w="0" w:type="dxa"/>
            <w:left w:w="108" w:type="dxa"/>
            <w:bottom w:w="0" w:type="dxa"/>
            <w:right w:w="108" w:type="dxa"/>
          </w:tblCellMar>
        </w:tblPrEx>
        <w:trPr>
          <w:wBefore w:w="0" w:type="dxa"/>
          <w:wAfter w:w="0" w:type="dxa"/>
          <w:trHeight w:val="315"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县城</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40.2</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41.8</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18.1</w:t>
            </w:r>
          </w:p>
        </w:tc>
        <w:tc>
          <w:tcPr>
            <w:tcW w:w="126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16.1</w:t>
            </w:r>
          </w:p>
        </w:tc>
      </w:tr>
      <w:tr>
        <w:tblPrEx>
          <w:tblCellMar>
            <w:top w:w="0" w:type="dxa"/>
            <w:left w:w="108" w:type="dxa"/>
            <w:bottom w:w="0" w:type="dxa"/>
            <w:right w:w="108" w:type="dxa"/>
          </w:tblCellMar>
        </w:tblPrEx>
        <w:trPr>
          <w:wBefore w:w="0" w:type="dxa"/>
          <w:wAfter w:w="0" w:type="dxa"/>
          <w:trHeight w:val="315" w:hRule="atLeast"/>
        </w:trPr>
        <w:tc>
          <w:tcPr>
            <w:tcW w:w="11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3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县以下</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23.7</w:t>
            </w:r>
          </w:p>
        </w:tc>
        <w:tc>
          <w:tcPr>
            <w:tcW w:w="110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12.2</w:t>
            </w:r>
          </w:p>
        </w:tc>
        <w:tc>
          <w:tcPr>
            <w:tcW w:w="1245"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4.9</w:t>
            </w:r>
          </w:p>
        </w:tc>
        <w:tc>
          <w:tcPr>
            <w:tcW w:w="1260" w:type="dxa"/>
            <w:tcBorders>
              <w:top w:val="nil"/>
              <w:left w:val="nil"/>
              <w:bottom w:val="single" w:color="auto" w:sz="4" w:space="0"/>
              <w:right w:val="single" w:color="auto" w:sz="4" w:space="0"/>
            </w:tcBorders>
            <w:shd w:val="clear" w:color="auto" w:fill="auto"/>
            <w:noWrap/>
            <w:vAlign w:val="bottom"/>
          </w:tcPr>
          <w:p>
            <w:pPr>
              <w:jc w:val="right"/>
              <w:rPr>
                <w:rFonts w:ascii="宋体" w:hAnsi="宋体" w:cs="宋体"/>
                <w:sz w:val="24"/>
              </w:rPr>
            </w:pPr>
            <w:r>
              <w:rPr>
                <w:rFonts w:hint="eastAsia"/>
              </w:rPr>
              <w:t>4.4</w:t>
            </w: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年末全国共有娱乐场所79816个，从业人员67.36万人，全年营业总收入557.04亿元，营业利润136.17亿元。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年末全国共有互联网上网服务营业场所134847个，从业人员48.03万人，全年营业总收入400.97亿元，营业利润130.30亿元。 </w:t>
      </w:r>
    </w:p>
    <w:p>
      <w:pPr>
        <w:adjustRightInd w:val="0"/>
        <w:spacing w:line="560" w:lineRule="exact"/>
        <w:ind w:firstLine="624" w:firstLineChars="195"/>
        <w:rPr>
          <w:rFonts w:hint="eastAsia" w:ascii="黑体" w:eastAsia="黑体"/>
          <w:sz w:val="32"/>
          <w:szCs w:val="32"/>
        </w:rPr>
      </w:pPr>
      <w:r>
        <w:rPr>
          <w:rFonts w:hint="eastAsia" w:ascii="黑体" w:eastAsia="黑体"/>
          <w:sz w:val="32"/>
          <w:szCs w:val="32"/>
        </w:rPr>
        <w:t>五、文化产业与文化科技</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2015年，文化部推进国家文化产业创新实验区建设，开展拉动城乡居民文化消费试点项目，积极探索建立扩大文化消费长效机制。推动落实国务院关于推进文化创意和设计服务与相关产业融合发展的政策措施，实施文化产业创业创意人才扶持计划。推动将特色文化产业发展纳入中央财政文化产业发展专项资金重点支持范围，支持专项资金1.66亿元。落实《藏羌彝文化产业走廊总体规划》，推进藏羌彝等民族聚居地区文化与生态、旅游的融合发展。扶持成长型小微文化企业发展。深化文化金融合作，联合财政部实施“文化金融扶持计划”，对138个重点项目给予11.8亿元资金支持，同比增长75%。截至2015年末，累计带动8330亿元的金融资本，超1.8万亿元的社会资本投入文化产业。建设国家文化产业项目服务平台，为优秀文化产业项目提供公共服务，截至2015年末，共征集7134个文化产业项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年末全国共有10个国家级文化产业示范园区，10个国家级文化产业试验园区和335个国家文化产业示范基地。</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2015年，60个动漫项目入选弘扬社会主义核心价值观动漫扶持计划，46个动漫项目入选国家动漫品牌建设和保护计划。加强对优秀原创动漫作品的宣传推广，提高动漫会展专业化、市场化水平。促进动漫与新媒体渠道对接，助推互联网+动漫发展，推进数字内容产业发展。在国际电信联盟推出中国自主原创的手机动漫标准，抢占国际标准制定权。年末经文化部、财政部、国家税务总局三部门联合认定的动漫企业共有730个，重点动漫企业43个。</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2015年，文化部积极推动科技项目组织实施与成果应用，53个项目获批为国家科技支撑计划项目、国家文化科技提升计划项目、国家标准化项目等，完成47项文化科技创新类项目的验收结项工作。加强项目管理，遴选培育对策性、时代性、创新性俱佳的艺术科研项目，4个项目确立为国家社科基金艺术学重大项目，184个项目确立为国家社科基金艺术学年度项目，71个项目确立为文化部文化艺术科学研究项目。完成127项全国艺术科学规划项目的鉴定结项工作。</w:t>
      </w:r>
    </w:p>
    <w:p>
      <w:pPr>
        <w:ind w:firstLine="640" w:firstLineChars="200"/>
        <w:rPr>
          <w:rFonts w:hint="eastAsia" w:ascii="黑体" w:hAnsi="仿宋" w:eastAsia="黑体"/>
          <w:sz w:val="32"/>
          <w:szCs w:val="32"/>
        </w:rPr>
      </w:pPr>
      <w:r>
        <w:rPr>
          <w:rFonts w:hint="eastAsia" w:ascii="黑体" w:hAnsi="仿宋" w:eastAsia="黑体"/>
          <w:sz w:val="32"/>
          <w:szCs w:val="32"/>
        </w:rPr>
        <w:t>六、文化遗产保护</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国家文物局实施40个抗战类国保单位维修项目，</w:t>
      </w:r>
      <w:r>
        <w:rPr>
          <w:rFonts w:ascii="仿宋_GB2312" w:hAnsi="仿宋" w:eastAsia="仿宋_GB2312"/>
          <w:sz w:val="32"/>
          <w:szCs w:val="32"/>
        </w:rPr>
        <w:t>1</w:t>
      </w:r>
      <w:r>
        <w:rPr>
          <w:rFonts w:hint="eastAsia" w:ascii="仿宋_GB2312" w:hAnsi="仿宋" w:eastAsia="仿宋_GB2312"/>
          <w:sz w:val="32"/>
          <w:szCs w:val="32"/>
        </w:rPr>
        <w:t>13处抗战类全国重点文物保护单位全部对外开放。首批</w:t>
      </w:r>
      <w:r>
        <w:rPr>
          <w:rFonts w:ascii="仿宋_GB2312" w:hAnsi="仿宋" w:eastAsia="仿宋_GB2312"/>
          <w:sz w:val="32"/>
          <w:szCs w:val="32"/>
        </w:rPr>
        <w:t>51</w:t>
      </w:r>
      <w:r>
        <w:rPr>
          <w:rFonts w:hint="eastAsia" w:ascii="仿宋_GB2312" w:hAnsi="仿宋" w:eastAsia="仿宋_GB2312"/>
          <w:sz w:val="32"/>
          <w:szCs w:val="32"/>
        </w:rPr>
        <w:t>个传统村落保护工程全面完工，启动第二批100个传统村落保护利用项目。“平安故宫”工程、中共六大会址修复工程扎实推进。2015年7月，“中国</w:t>
      </w:r>
      <w:r>
        <w:rPr>
          <w:rFonts w:ascii="仿宋_GB2312" w:hAnsi="仿宋" w:eastAsia="仿宋_GB2312"/>
          <w:sz w:val="32"/>
          <w:szCs w:val="32"/>
        </w:rPr>
        <w:t>土司遗址</w:t>
      </w:r>
      <w:r>
        <w:rPr>
          <w:rFonts w:hint="eastAsia" w:ascii="仿宋_GB2312" w:hAnsi="仿宋" w:eastAsia="仿宋_GB2312"/>
          <w:sz w:val="32"/>
          <w:szCs w:val="32"/>
        </w:rPr>
        <w:t>”成功列入《世界文化遗产名录》，至此</w:t>
      </w:r>
      <w:r>
        <w:rPr>
          <w:rFonts w:hint="eastAsia" w:ascii="仿宋_GB2312" w:eastAsia="仿宋_GB2312"/>
          <w:sz w:val="32"/>
          <w:szCs w:val="32"/>
        </w:rPr>
        <w:t>我国拥有</w:t>
      </w:r>
      <w:r>
        <w:rPr>
          <w:rFonts w:hint="eastAsia" w:ascii="仿宋_GB2312" w:hAnsi="仿宋" w:eastAsia="仿宋_GB2312"/>
          <w:sz w:val="32"/>
          <w:szCs w:val="32"/>
        </w:rPr>
        <w:t>48处世界遗产，位居世界第二。</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年末全国共有文物机构8676个，比上年末增加255个。其中，文物保护管理机构3307个，占38.1%，博物馆</w:t>
      </w:r>
      <w:r>
        <w:rPr>
          <w:rFonts w:hint="eastAsia"/>
          <w:szCs w:val="21"/>
          <w:vertAlign w:val="superscript"/>
        </w:rPr>
        <w:t>[13]</w:t>
      </w:r>
      <w:r>
        <w:rPr>
          <w:rFonts w:hint="eastAsia" w:ascii="仿宋_GB2312" w:hAnsi="仿宋" w:eastAsia="仿宋_GB2312"/>
          <w:sz w:val="32"/>
          <w:szCs w:val="32"/>
        </w:rPr>
        <w:t>3852个，占44.4%。年末全国文物机构从业人员14.60万人，比上年末减少0.21万人。其中高级职称8000人，占5.5%，中级职称18313人，占12.5%。</w:t>
      </w:r>
    </w:p>
    <w:p>
      <w:pPr>
        <w:spacing w:line="360" w:lineRule="auto"/>
        <w:jc w:val="center"/>
        <w:rPr>
          <w:rFonts w:hint="eastAsia" w:ascii="仿宋_GB2312" w:eastAsia="仿宋_GB2312"/>
          <w:b/>
          <w:sz w:val="32"/>
          <w:szCs w:val="32"/>
        </w:rPr>
      </w:pPr>
      <w:r>
        <w:drawing>
          <wp:inline distT="0" distB="0" distL="114300" distR="114300">
            <wp:extent cx="5269230" cy="2684145"/>
            <wp:effectExtent l="0" t="0" r="7620" b="190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年末全国文物机构拥有文物藏品4139.19万件，比上年末增加75.61万件，增长1.9%。其中，博物馆文物藏品3044.14万件，占文物藏品总量的73.5%；文物商店文物藏品728.02万件，占17.6%。文物藏品中，一级文物10.87万件，占0.3%；二级文物71.54万件，占1.7%；三级文物388.80万件，占9.4%。年末全国不可移动文物共有76.67万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全年全国文物机构共安排基本陈列</w:t>
      </w:r>
      <w:r>
        <w:rPr>
          <w:rFonts w:hint="eastAsia"/>
          <w:szCs w:val="21"/>
          <w:vertAlign w:val="superscript"/>
        </w:rPr>
        <w:t>[14]</w:t>
      </w:r>
      <w:r>
        <w:rPr>
          <w:rFonts w:hint="eastAsia" w:ascii="仿宋_GB2312" w:eastAsia="仿宋_GB2312"/>
          <w:sz w:val="32"/>
          <w:szCs w:val="32"/>
        </w:rPr>
        <w:t>10859个，举办临时展览</w:t>
      </w:r>
      <w:r>
        <w:rPr>
          <w:rFonts w:hint="eastAsia"/>
          <w:szCs w:val="21"/>
          <w:vertAlign w:val="superscript"/>
        </w:rPr>
        <w:t>[15]</w:t>
      </w:r>
      <w:r>
        <w:rPr>
          <w:rFonts w:hint="eastAsia" w:ascii="仿宋_GB2312" w:eastAsia="仿宋_GB2312"/>
          <w:sz w:val="32"/>
          <w:szCs w:val="32"/>
        </w:rPr>
        <w:t>11805个，接待观众92508万人次，比上年增长9.8%。其中未成年人24663万人次，增长10.1%，占参观总人数的26.7%。博物馆接待观众78112万人次，增长8.8%，占文物机构接待观众84.4%。</w:t>
      </w:r>
    </w:p>
    <w:p>
      <w:pPr>
        <w:jc w:val="center"/>
        <w:rPr>
          <w:rFonts w:hint="eastAsia" w:ascii="仿宋_GB2312" w:eastAsia="仿宋_GB2312"/>
          <w:sz w:val="32"/>
          <w:szCs w:val="32"/>
        </w:rPr>
      </w:pPr>
      <w:r>
        <w:drawing>
          <wp:inline distT="0" distB="0" distL="114300" distR="114300">
            <wp:extent cx="5269230" cy="2684145"/>
            <wp:effectExtent l="0" t="0" r="7620" b="19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1"/>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2015年，文化部制定《国家级非物质文化遗产代表性传承人抢救性记录工作规范》，支持268位国家级非遗代表性传承人的抢救性记录。认定464家第四批国家级非遗代表性项目保护单位，对331家不适合的项目保护单位进行调整和重新认定。截至2015年末，国务院共公布了1372个国家级非物质文化遗产代表性项目，文化部共认定了1986名国家级非物质文化遗产项目代表性传承人。我国有30项非物质文化遗产项目入选联合国教科文组织“人类非物质文化遗产代表作名录”、7项入选“急需保护的非物质文化遗产名录”，1项入选“优秀实践名册”，总数位列世界第一。据初步统计，年末全国共有非物质文化遗产保护机构</w:t>
      </w:r>
      <w:r>
        <w:rPr>
          <w:rFonts w:hint="eastAsia"/>
          <w:szCs w:val="21"/>
          <w:vertAlign w:val="superscript"/>
        </w:rPr>
        <w:t>[16]</w:t>
      </w:r>
      <w:r>
        <w:rPr>
          <w:rFonts w:hint="eastAsia" w:ascii="仿宋_GB2312" w:eastAsia="仿宋_GB2312"/>
          <w:sz w:val="32"/>
          <w:szCs w:val="32"/>
        </w:rPr>
        <w:t>2637个，从业人员18657人。全年全国非物质文化遗产保护机构共举办展览16937次，比上年增长5.6%，接待观众3297万人次，比上年降低2.7%；举办演出39161场，观众3958万人次，分别比上年增长12.8%和4.3%；举办民俗活动13567次，比上年增长4.5%，观众3717万人次，比上年降低4.3%；举办培训班20588次，比上年降低1.7%，培训人数151万人次，比上年增长10.2%。</w:t>
      </w:r>
    </w:p>
    <w:p>
      <w:pPr>
        <w:spacing w:line="560" w:lineRule="exact"/>
        <w:ind w:firstLine="630" w:firstLineChars="196"/>
        <w:rPr>
          <w:rFonts w:hint="eastAsia" w:ascii="黑体" w:eastAsia="黑体"/>
          <w:b/>
          <w:sz w:val="32"/>
          <w:szCs w:val="32"/>
        </w:rPr>
      </w:pPr>
      <w:r>
        <w:rPr>
          <w:rFonts w:hint="eastAsia" w:ascii="黑体" w:eastAsia="黑体"/>
          <w:b/>
          <w:sz w:val="32"/>
          <w:szCs w:val="32"/>
        </w:rPr>
        <w:t>七、对外和对港澳台文化交流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2015年，文化部服务国家“一带一路”</w:t>
      </w:r>
      <w:r>
        <w:rPr>
          <w:rFonts w:hint="eastAsia" w:ascii="仿宋_GB2312" w:eastAsia="仿宋_GB2312"/>
          <w:sz w:val="32"/>
          <w:szCs w:val="32"/>
          <w:lang w:eastAsia="zh-CN"/>
        </w:rPr>
        <w:t>倡议</w:t>
      </w:r>
      <w:bookmarkStart w:id="0" w:name="_GoBack"/>
      <w:bookmarkEnd w:id="0"/>
      <w:r>
        <w:rPr>
          <w:rFonts w:hint="eastAsia" w:ascii="仿宋_GB2312" w:eastAsia="仿宋_GB2312"/>
          <w:sz w:val="32"/>
          <w:szCs w:val="32"/>
        </w:rPr>
        <w:t>，举办第十四届亚洲艺术节暨第二届海上丝绸之路国际艺术节、“东亚文化之都”、中国-中东欧国家文化合作论坛等活动。举办中加、中英文化交流年、中美文化论坛、中俄文化大集、南非中国文化年、赫尔辛基艺术节中国主宾国等重点文化外交活动。积极参与高级别人文交流机制以及政府间对话活动，有力配合国家外交大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推动地方政府与企业参与海外中国文化中心建设，2015年5家海外中国文化中心投入运营，总数达到25个。据统计，25个海外文化中心全年共举办培训班221次，培训16035人次，举办讲座197次，参加16147人次，组织各类文化活动924次，参加280.14万人次。“欢乐春节”活动以“品牌化、本土化、市场化”为宗旨，在全球119个国家和地区开展900多项文化活动。北京、上海、深圳国家对外文化贸易基地的影响力和辐射带动作用进一步显现。</w:t>
      </w:r>
    </w:p>
    <w:p>
      <w:pPr>
        <w:adjustRightInd w:val="0"/>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深化职能转变，调整台湾来大陆文化交流项目审批权限。成功举办港澳大学生文化实践活动、“粤港澳青年文化之旅”、“艺海流金</w:t>
      </w:r>
      <w:r>
        <w:rPr>
          <w:rFonts w:hint="eastAsia" w:ascii="黑体" w:hAnsi="黑体" w:eastAsia="黑体" w:cs="黑体"/>
          <w:sz w:val="32"/>
          <w:szCs w:val="32"/>
        </w:rPr>
        <w:t>—</w:t>
      </w:r>
      <w:r>
        <w:rPr>
          <w:rFonts w:hint="eastAsia" w:ascii="仿宋_GB2312" w:hAnsi="仿宋" w:eastAsia="仿宋_GB2312"/>
          <w:sz w:val="32"/>
          <w:szCs w:val="32"/>
        </w:rPr>
        <w:t>丝路寻根之旅”、“情系丝路</w:t>
      </w:r>
      <w:r>
        <w:rPr>
          <w:rFonts w:hint="eastAsia" w:ascii="黑体" w:hAnsi="黑体" w:eastAsia="黑体" w:cs="黑体"/>
          <w:sz w:val="32"/>
          <w:szCs w:val="32"/>
        </w:rPr>
        <w:t>—</w:t>
      </w:r>
      <w:r>
        <w:rPr>
          <w:rFonts w:hint="eastAsia" w:ascii="仿宋_GB2312" w:eastAsia="仿宋_GB2312"/>
          <w:sz w:val="32"/>
          <w:szCs w:val="32"/>
        </w:rPr>
        <w:t>牵手宁夏</w:t>
      </w:r>
      <w:r>
        <w:rPr>
          <w:rFonts w:hint="eastAsia" w:ascii="仿宋_GB2312" w:hAnsi="仿宋" w:eastAsia="仿宋_GB2312"/>
          <w:sz w:val="32"/>
          <w:szCs w:val="32"/>
        </w:rPr>
        <w:t>”、“两岸文学对话”等活动，</w:t>
      </w:r>
      <w:r>
        <w:rPr>
          <w:rFonts w:hint="eastAsia" w:ascii="仿宋_GB2312" w:eastAsia="仿宋_GB2312"/>
          <w:sz w:val="32"/>
          <w:szCs w:val="32"/>
        </w:rPr>
        <w:t>为两岸暨港澳台地区青年搭建交流平台，提升思想领域深度交流。举办“根与魂”非遗展演、</w:t>
      </w:r>
      <w:r>
        <w:rPr>
          <w:rFonts w:hint="eastAsia" w:ascii="仿宋_GB2312" w:hAnsi="仿宋" w:eastAsia="仿宋_GB2312"/>
          <w:sz w:val="32"/>
          <w:szCs w:val="32"/>
        </w:rPr>
        <w:t>庆春节、庆中秋等活动，入岛举办</w:t>
      </w:r>
      <w:r>
        <w:rPr>
          <w:rFonts w:hint="eastAsia" w:ascii="仿宋_GB2312" w:eastAsia="仿宋_GB2312"/>
          <w:sz w:val="32"/>
          <w:szCs w:val="32"/>
        </w:rPr>
        <w:t>北京文化庙会等</w:t>
      </w:r>
      <w:r>
        <w:rPr>
          <w:rFonts w:hint="eastAsia" w:ascii="仿宋_GB2312" w:hAnsi="仿宋" w:eastAsia="仿宋_GB2312"/>
          <w:sz w:val="32"/>
          <w:szCs w:val="32"/>
        </w:rPr>
        <w:t>，共同促进中华文化传承发展，发挥文化交流在促进人心回归、凝聚亲情方面的长效作用。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全年经文化系统审批的对外文化交流项目1667起，40781人次参加；对港澳文化交流项目230项，5593人次参加；对台文化交流项目500项，12593人次参加。</w:t>
      </w:r>
    </w:p>
    <w:p>
      <w:pPr>
        <w:spacing w:line="560" w:lineRule="exact"/>
        <w:ind w:firstLine="640" w:firstLineChars="200"/>
        <w:rPr>
          <w:rFonts w:hint="eastAsia" w:ascii="黑体" w:eastAsia="黑体"/>
          <w:sz w:val="32"/>
          <w:szCs w:val="32"/>
        </w:rPr>
      </w:pPr>
      <w:r>
        <w:rPr>
          <w:rFonts w:hint="eastAsia" w:ascii="黑体" w:eastAsia="黑体"/>
          <w:sz w:val="32"/>
          <w:szCs w:val="32"/>
        </w:rPr>
        <w:t>八、文化资金投入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2015年，中央财政通过继续实施“三馆一站”免费开放、非物质文化遗产保护、公共数字文化建设、地市级公共文化设施建设等文化项目，共落实中央补助地方专项资金47.80亿元，比上年增长2.7%。</w:t>
      </w:r>
    </w:p>
    <w:p>
      <w:pPr>
        <w:rPr>
          <w:rFonts w:hint="eastAsia" w:ascii="仿宋_GB2312" w:eastAsia="仿宋_GB2312"/>
          <w:sz w:val="32"/>
          <w:szCs w:val="32"/>
        </w:rPr>
      </w:pPr>
      <w:r>
        <w:drawing>
          <wp:inline distT="0" distB="0" distL="114300" distR="114300">
            <wp:extent cx="5269230" cy="2684145"/>
            <wp:effectExtent l="0" t="0" r="7620" b="190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全年全国文化事业费</w:t>
      </w:r>
      <w:r>
        <w:rPr>
          <w:rFonts w:hint="eastAsia"/>
          <w:szCs w:val="21"/>
          <w:vertAlign w:val="superscript"/>
        </w:rPr>
        <w:t>[17]</w:t>
      </w:r>
      <w:r>
        <w:rPr>
          <w:rFonts w:hint="eastAsia" w:ascii="仿宋_GB2312" w:eastAsia="仿宋_GB2312"/>
          <w:sz w:val="32"/>
          <w:szCs w:val="32"/>
        </w:rPr>
        <w:t xml:space="preserve"> 682.97亿元，比上年增加99.53亿元，增长17.1%，增长速度比上年提高7.1个百分点；全国人均文化事业费49.68元，比上年增加7.03元，增长16.5%。</w:t>
      </w:r>
    </w:p>
    <w:p>
      <w:pPr>
        <w:spacing w:line="560" w:lineRule="exact"/>
        <w:ind w:firstLine="420" w:firstLineChars="200"/>
        <w:rPr>
          <w:rFonts w:hint="eastAsia" w:ascii="仿宋_GB2312" w:eastAsia="仿宋_GB2312"/>
          <w:sz w:val="32"/>
          <w:szCs w:val="32"/>
        </w:rPr>
      </w:pPr>
      <w:r>
        <w:rPr>
          <w:lang/>
        </w:rPr>
        <w:drawing>
          <wp:anchor distT="0" distB="0" distL="114300" distR="114300" simplePos="0" relativeHeight="251660288" behindDoc="1" locked="0" layoutInCell="1" allowOverlap="1">
            <wp:simplePos x="0" y="0"/>
            <wp:positionH relativeFrom="column">
              <wp:posOffset>0</wp:posOffset>
            </wp:positionH>
            <wp:positionV relativeFrom="paragraph">
              <wp:posOffset>99060</wp:posOffset>
            </wp:positionV>
            <wp:extent cx="5267325" cy="2686050"/>
            <wp:effectExtent l="0" t="0" r="9525" b="0"/>
            <wp:wrapTight wrapText="bothSides">
              <wp:wrapPolygon>
                <wp:start x="78" y="306"/>
                <wp:lineTo x="78" y="21217"/>
                <wp:lineTo x="21444" y="21217"/>
                <wp:lineTo x="21444" y="306"/>
                <wp:lineTo x="78" y="306"/>
              </wp:wrapPolygon>
            </wp:wrapTight>
            <wp:docPr id="2"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36"/>
                    <pic:cNvPicPr>
                      <a:picLocks noChangeAspect="1"/>
                    </pic:cNvPicPr>
                  </pic:nvPicPr>
                  <pic:blipFill>
                    <a:blip r:embed="rId13"/>
                    <a:stretch>
                      <a:fillRect/>
                    </a:stretch>
                  </pic:blipFill>
                  <pic:spPr>
                    <a:xfrm>
                      <a:off x="0" y="0"/>
                      <a:ext cx="5267325" cy="2686050"/>
                    </a:xfrm>
                    <a:prstGeom prst="rect">
                      <a:avLst/>
                    </a:prstGeom>
                    <a:noFill/>
                    <a:ln>
                      <a:noFill/>
                    </a:ln>
                  </pic:spPr>
                </pic:pic>
              </a:graphicData>
            </a:graphic>
          </wp:anchor>
        </w:drawing>
      </w:r>
      <w:r>
        <w:rPr>
          <w:rFonts w:hint="eastAsia" w:ascii="仿宋_GB2312" w:eastAsia="仿宋_GB2312"/>
          <w:sz w:val="32"/>
          <w:szCs w:val="32"/>
        </w:rPr>
        <w:t>文化事业费占财政总支出的比重为0.39%，比重比上年提高0.01个百分点。</w:t>
      </w:r>
    </w:p>
    <w:p>
      <w:pPr>
        <w:spacing w:line="360" w:lineRule="auto"/>
        <w:jc w:val="center"/>
        <w:rPr>
          <w:rFonts w:hint="eastAsia" w:ascii="仿宋_GB2312" w:eastAsia="仿宋_GB2312"/>
          <w:sz w:val="32"/>
          <w:szCs w:val="32"/>
        </w:rPr>
      </w:pPr>
      <w:r>
        <w:drawing>
          <wp:inline distT="0" distB="0" distL="114300" distR="114300">
            <wp:extent cx="5269230" cy="2684145"/>
            <wp:effectExtent l="0" t="0" r="7620" b="190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4"/>
                    <a:stretch>
                      <a:fillRect/>
                    </a:stretch>
                  </pic:blipFill>
                  <pic:spPr>
                    <a:xfrm>
                      <a:off x="0" y="0"/>
                      <a:ext cx="5269230" cy="2684145"/>
                    </a:xfrm>
                    <a:prstGeom prst="rect">
                      <a:avLst/>
                    </a:prstGeom>
                    <a:noFill/>
                    <a:ln>
                      <a:noFill/>
                    </a:ln>
                  </pic:spPr>
                </pic:pic>
              </a:graphicData>
            </a:graphic>
          </wp:inline>
        </w:drawing>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全国文化事业费中，县以上文化单位352.84亿元，占51.7%，比重比上年提高了1.6个百分点；县及县以下文化单位330.13亿元，占48.3%，比重比上年下降了1.6个百分点。东部地区</w:t>
      </w:r>
      <w:r>
        <w:rPr>
          <w:rFonts w:hint="eastAsia"/>
          <w:szCs w:val="21"/>
          <w:vertAlign w:val="superscript"/>
        </w:rPr>
        <w:t>[18]</w:t>
      </w:r>
      <w:r>
        <w:rPr>
          <w:rFonts w:hint="eastAsia" w:ascii="仿宋_GB2312" w:eastAsia="仿宋_GB2312"/>
          <w:sz w:val="32"/>
          <w:szCs w:val="32"/>
        </w:rPr>
        <w:t>文化单位文化事业费287.87亿元，占42.1%，比重提高了0.5个百分点；中部地区文化单位164.27亿元，占24.1%，比重提高了1.2个百分点；西部地区文化单位193.87亿元，占28.4%，比重下降了0.9个百分点。</w:t>
      </w:r>
    </w:p>
    <w:p>
      <w:pPr>
        <w:ind w:firstLine="480" w:firstLineChars="200"/>
        <w:jc w:val="center"/>
        <w:rPr>
          <w:rFonts w:hint="eastAsia" w:ascii="黑体" w:eastAsia="黑体"/>
          <w:sz w:val="24"/>
        </w:rPr>
      </w:pPr>
      <w:r>
        <w:rPr>
          <w:rFonts w:hint="eastAsia" w:ascii="黑体" w:eastAsia="黑体"/>
          <w:sz w:val="24"/>
        </w:rPr>
        <w:t>全国文化事业费按城乡和区域分布情况</w:t>
      </w:r>
    </w:p>
    <w:tbl>
      <w:tblPr>
        <w:tblStyle w:val="5"/>
        <w:tblW w:w="8768" w:type="dxa"/>
        <w:jc w:val="center"/>
        <w:tblLayout w:type="fixed"/>
        <w:tblCellMar>
          <w:top w:w="0" w:type="dxa"/>
          <w:left w:w="108" w:type="dxa"/>
          <w:bottom w:w="0" w:type="dxa"/>
          <w:right w:w="108" w:type="dxa"/>
        </w:tblCellMar>
      </w:tblPr>
      <w:tblGrid>
        <w:gridCol w:w="725"/>
        <w:gridCol w:w="1486"/>
        <w:gridCol w:w="936"/>
        <w:gridCol w:w="937"/>
        <w:gridCol w:w="937"/>
        <w:gridCol w:w="936"/>
        <w:gridCol w:w="937"/>
        <w:gridCol w:w="937"/>
        <w:gridCol w:w="937"/>
      </w:tblGrid>
      <w:tr>
        <w:tblPrEx>
          <w:tblCellMar>
            <w:top w:w="0" w:type="dxa"/>
            <w:left w:w="108" w:type="dxa"/>
            <w:bottom w:w="0" w:type="dxa"/>
            <w:right w:w="108" w:type="dxa"/>
          </w:tblCellMar>
        </w:tblPrEx>
        <w:trPr>
          <w:wBefore w:w="0" w:type="dxa"/>
          <w:wAfter w:w="0" w:type="dxa"/>
          <w:trHeight w:val="285" w:hRule="atLeast"/>
          <w:jc w:val="center"/>
        </w:trPr>
        <w:tc>
          <w:tcPr>
            <w:tcW w:w="221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w:t>
            </w:r>
          </w:p>
        </w:tc>
        <w:tc>
          <w:tcPr>
            <w:tcW w:w="936"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1995年</w:t>
            </w:r>
          </w:p>
        </w:tc>
        <w:tc>
          <w:tcPr>
            <w:tcW w:w="937"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2000年</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rPr>
            </w:pPr>
            <w:r>
              <w:rPr>
                <w:rFonts w:hint="eastAsia"/>
              </w:rPr>
              <w:t>2005年</w:t>
            </w:r>
          </w:p>
        </w:tc>
        <w:tc>
          <w:tcPr>
            <w:tcW w:w="936"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2010年</w:t>
            </w:r>
          </w:p>
        </w:tc>
        <w:tc>
          <w:tcPr>
            <w:tcW w:w="937" w:type="dxa"/>
            <w:tcBorders>
              <w:top w:val="single" w:color="auto" w:sz="4" w:space="0"/>
              <w:left w:val="nil"/>
              <w:bottom w:val="single" w:color="auto" w:sz="4" w:space="0"/>
              <w:right w:val="single" w:color="auto" w:sz="4" w:space="0"/>
            </w:tcBorders>
            <w:shd w:val="clear" w:color="auto" w:fill="auto"/>
            <w:noWrap/>
            <w:vAlign w:val="center"/>
          </w:tcPr>
          <w:p>
            <w:r>
              <w:rPr>
                <w:rFonts w:hint="eastAsia"/>
              </w:rPr>
              <w:t>2013年</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rPr>
                <w:rFonts w:hint="eastAsia"/>
              </w:rPr>
            </w:pPr>
            <w:r>
              <w:rPr>
                <w:rFonts w:hint="eastAsia"/>
              </w:rPr>
              <w:t>2014年</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rPr>
            </w:pPr>
            <w:r>
              <w:rPr>
                <w:rFonts w:hint="eastAsia"/>
              </w:rPr>
              <w:t>2015年</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总量</w:t>
            </w:r>
          </w:p>
          <w:p>
            <w:pPr>
              <w:widowControl/>
              <w:jc w:val="center"/>
              <w:rPr>
                <w:rFonts w:ascii="宋体" w:hAnsi="宋体" w:cs="宋体"/>
                <w:kern w:val="0"/>
                <w:szCs w:val="21"/>
              </w:rPr>
            </w:pPr>
            <w:r>
              <w:rPr>
                <w:rFonts w:hint="eastAsia" w:ascii="宋体" w:hAnsi="宋体" w:cs="宋体"/>
                <w:kern w:val="0"/>
                <w:szCs w:val="21"/>
              </w:rPr>
              <w:t>(亿元)</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全国</w:t>
            </w:r>
          </w:p>
        </w:tc>
        <w:tc>
          <w:tcPr>
            <w:tcW w:w="936" w:type="dxa"/>
            <w:tcBorders>
              <w:top w:val="nil"/>
              <w:left w:val="nil"/>
              <w:bottom w:val="single" w:color="auto" w:sz="4" w:space="0"/>
              <w:right w:val="single" w:color="auto" w:sz="4" w:space="0"/>
            </w:tcBorders>
            <w:shd w:val="clear" w:color="auto" w:fill="auto"/>
            <w:noWrap/>
            <w:vAlign w:val="center"/>
          </w:tcPr>
          <w:p>
            <w:pPr>
              <w:jc w:val="right"/>
              <w:rPr>
                <w:b/>
              </w:rPr>
            </w:pPr>
            <w:r>
              <w:rPr>
                <w:rFonts w:hint="eastAsia"/>
                <w:b/>
              </w:rPr>
              <w:t xml:space="preserve">33.39 </w:t>
            </w:r>
          </w:p>
        </w:tc>
        <w:tc>
          <w:tcPr>
            <w:tcW w:w="937" w:type="dxa"/>
            <w:tcBorders>
              <w:top w:val="nil"/>
              <w:left w:val="nil"/>
              <w:bottom w:val="single" w:color="auto" w:sz="4" w:space="0"/>
              <w:right w:val="single" w:color="auto" w:sz="4" w:space="0"/>
            </w:tcBorders>
            <w:shd w:val="clear" w:color="auto" w:fill="auto"/>
            <w:noWrap/>
            <w:vAlign w:val="center"/>
          </w:tcPr>
          <w:p>
            <w:pPr>
              <w:jc w:val="right"/>
              <w:rPr>
                <w:b/>
              </w:rPr>
            </w:pPr>
            <w:r>
              <w:rPr>
                <w:rFonts w:hint="eastAsia"/>
                <w:b/>
              </w:rPr>
              <w:t>63.16</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b/>
              </w:rPr>
            </w:pPr>
            <w:r>
              <w:rPr>
                <w:rFonts w:hint="eastAsia"/>
                <w:b/>
              </w:rPr>
              <w:t xml:space="preserve">133.82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b/>
              </w:rPr>
            </w:pPr>
            <w:r>
              <w:rPr>
                <w:rFonts w:hint="eastAsia"/>
                <w:b/>
              </w:rPr>
              <w:t>323.06</w:t>
            </w:r>
          </w:p>
        </w:tc>
        <w:tc>
          <w:tcPr>
            <w:tcW w:w="937" w:type="dxa"/>
            <w:tcBorders>
              <w:top w:val="nil"/>
              <w:left w:val="nil"/>
              <w:bottom w:val="single" w:color="auto" w:sz="4" w:space="0"/>
              <w:right w:val="single" w:color="auto" w:sz="4" w:space="0"/>
            </w:tcBorders>
            <w:shd w:val="clear" w:color="auto" w:fill="auto"/>
            <w:noWrap/>
            <w:vAlign w:val="bottom"/>
          </w:tcPr>
          <w:p>
            <w:pPr>
              <w:jc w:val="right"/>
              <w:rPr>
                <w:b/>
                <w:bCs/>
                <w:szCs w:val="21"/>
              </w:rPr>
            </w:pPr>
            <w:r>
              <w:rPr>
                <w:b/>
                <w:bCs/>
                <w:szCs w:val="21"/>
              </w:rPr>
              <w:t>530.49</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b/>
              </w:rPr>
            </w:pPr>
            <w:r>
              <w:rPr>
                <w:rFonts w:hint="eastAsia"/>
                <w:b/>
              </w:rPr>
              <w:t>583.44</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b/>
              </w:rPr>
            </w:pPr>
            <w:r>
              <w:rPr>
                <w:rFonts w:hint="eastAsia"/>
                <w:b/>
              </w:rPr>
              <w:t>682.97</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＃县以上</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24.44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46.33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98.12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206.65</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272.67</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292.12</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352.84</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县及县以下</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8.95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16.87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35.70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116.41</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257.82</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291.32</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330.13</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＃东部地区</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hint="eastAsia"/>
              </w:rPr>
              <w:t>13.43</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jc w:val="right"/>
            </w:pPr>
            <w:r>
              <w:rPr>
                <w:rFonts w:hint="eastAsia"/>
              </w:rPr>
              <w:t>28.85</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jc w:val="right"/>
            </w:pPr>
            <w:r>
              <w:rPr>
                <w:rFonts w:hint="eastAsia"/>
              </w:rPr>
              <w:t>64.37</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rPr>
            </w:pPr>
            <w:r>
              <w:rPr>
                <w:rFonts w:hint="eastAsia"/>
              </w:rPr>
              <w:t>143.35</w:t>
            </w:r>
          </w:p>
        </w:tc>
        <w:tc>
          <w:tcPr>
            <w:tcW w:w="937" w:type="dxa"/>
            <w:tcBorders>
              <w:top w:val="single" w:color="auto" w:sz="4" w:space="0"/>
              <w:left w:val="nil"/>
              <w:bottom w:val="single" w:color="auto" w:sz="4" w:space="0"/>
              <w:right w:val="single" w:color="auto" w:sz="4" w:space="0"/>
            </w:tcBorders>
            <w:shd w:val="clear" w:color="auto" w:fill="auto"/>
            <w:noWrap/>
            <w:vAlign w:val="bottom"/>
          </w:tcPr>
          <w:p>
            <w:pPr>
              <w:jc w:val="right"/>
              <w:rPr>
                <w:szCs w:val="21"/>
              </w:rPr>
            </w:pPr>
            <w:r>
              <w:rPr>
                <w:szCs w:val="21"/>
              </w:rPr>
              <w:t>231.41</w:t>
            </w:r>
          </w:p>
        </w:tc>
        <w:tc>
          <w:tcPr>
            <w:tcW w:w="937"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rPr>
            </w:pPr>
            <w:r>
              <w:rPr>
                <w:rFonts w:hint="eastAsia"/>
              </w:rPr>
              <w:t>242.98</w:t>
            </w:r>
          </w:p>
        </w:tc>
        <w:tc>
          <w:tcPr>
            <w:tcW w:w="937" w:type="dxa"/>
            <w:tcBorders>
              <w:top w:val="single" w:color="auto" w:sz="4" w:space="0"/>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287.87</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cs="宋体"/>
                <w:kern w:val="0"/>
                <w:szCs w:val="21"/>
              </w:rPr>
            </w:pPr>
            <w:r>
              <w:rPr>
                <w:rFonts w:hint="eastAsia" w:ascii="宋体" w:hAnsi="宋体" w:cs="宋体"/>
                <w:kern w:val="0"/>
                <w:szCs w:val="21"/>
              </w:rPr>
              <w:t>中部地区</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9.54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15.05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30.58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78.65</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120.01</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133.46</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164.27</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cs="宋体"/>
                <w:kern w:val="0"/>
                <w:szCs w:val="21"/>
              </w:rPr>
            </w:pPr>
            <w:r>
              <w:rPr>
                <w:rFonts w:hint="eastAsia" w:ascii="宋体" w:hAnsi="宋体" w:cs="宋体"/>
                <w:kern w:val="0"/>
                <w:szCs w:val="21"/>
              </w:rPr>
              <w:t>西部地区</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8.30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13.70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27.56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85.78</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152.16</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171.15</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193.87</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所占比重</w:t>
            </w:r>
          </w:p>
          <w:p>
            <w:pPr>
              <w:widowControl/>
              <w:jc w:val="center"/>
              <w:rPr>
                <w:rFonts w:ascii="宋体" w:hAnsi="宋体" w:cs="宋体"/>
                <w:kern w:val="0"/>
                <w:szCs w:val="21"/>
              </w:rPr>
            </w:pPr>
            <w:r>
              <w:rPr>
                <w:rFonts w:hint="eastAsia" w:ascii="宋体" w:hAnsi="宋体" w:cs="宋体"/>
                <w:kern w:val="0"/>
                <w:szCs w:val="21"/>
              </w:rPr>
              <w:t>（</w:t>
            </w:r>
            <w:r>
              <w:rPr>
                <w:rFonts w:hint="eastAsia" w:ascii="宋体" w:hAnsi="宋体" w:cs="宋体"/>
                <w:strike/>
                <w:kern w:val="0"/>
                <w:szCs w:val="21"/>
              </w:rPr>
              <w:t>%</w:t>
            </w:r>
            <w:r>
              <w:rPr>
                <w:rFonts w:hint="eastAsia" w:ascii="宋体" w:hAnsi="宋体" w:cs="宋体"/>
                <w:kern w:val="0"/>
                <w:szCs w:val="21"/>
              </w:rPr>
              <w:t>）</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全国</w:t>
            </w:r>
          </w:p>
        </w:tc>
        <w:tc>
          <w:tcPr>
            <w:tcW w:w="936" w:type="dxa"/>
            <w:tcBorders>
              <w:top w:val="nil"/>
              <w:left w:val="nil"/>
              <w:bottom w:val="single" w:color="auto" w:sz="4" w:space="0"/>
              <w:right w:val="single" w:color="auto" w:sz="4" w:space="0"/>
            </w:tcBorders>
            <w:shd w:val="clear" w:color="auto" w:fill="auto"/>
            <w:noWrap/>
            <w:vAlign w:val="center"/>
          </w:tcPr>
          <w:p>
            <w:pPr>
              <w:jc w:val="right"/>
              <w:rPr>
                <w:b/>
              </w:rPr>
            </w:pPr>
            <w:r>
              <w:rPr>
                <w:rFonts w:hint="eastAsia"/>
                <w:b/>
              </w:rPr>
              <w:t xml:space="preserve">100.0 </w:t>
            </w:r>
          </w:p>
        </w:tc>
        <w:tc>
          <w:tcPr>
            <w:tcW w:w="937" w:type="dxa"/>
            <w:tcBorders>
              <w:top w:val="nil"/>
              <w:left w:val="nil"/>
              <w:bottom w:val="single" w:color="auto" w:sz="4" w:space="0"/>
              <w:right w:val="single" w:color="auto" w:sz="4" w:space="0"/>
            </w:tcBorders>
            <w:shd w:val="clear" w:color="auto" w:fill="auto"/>
            <w:noWrap/>
            <w:vAlign w:val="center"/>
          </w:tcPr>
          <w:p>
            <w:pPr>
              <w:jc w:val="right"/>
              <w:rPr>
                <w:b/>
              </w:rPr>
            </w:pPr>
            <w:r>
              <w:rPr>
                <w:rFonts w:hint="eastAsia"/>
                <w:b/>
              </w:rPr>
              <w:t xml:space="preserve">100.0 </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b/>
              </w:rPr>
            </w:pPr>
            <w:r>
              <w:rPr>
                <w:rFonts w:hint="eastAsia"/>
                <w:b/>
              </w:rPr>
              <w:t xml:space="preserve">100.0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b/>
              </w:rPr>
            </w:pPr>
            <w:r>
              <w:rPr>
                <w:rFonts w:hint="eastAsia"/>
                <w:b/>
              </w:rPr>
              <w:t>100.0</w:t>
            </w:r>
          </w:p>
        </w:tc>
        <w:tc>
          <w:tcPr>
            <w:tcW w:w="937" w:type="dxa"/>
            <w:tcBorders>
              <w:top w:val="nil"/>
              <w:left w:val="nil"/>
              <w:bottom w:val="single" w:color="auto" w:sz="4" w:space="0"/>
              <w:right w:val="single" w:color="auto" w:sz="4" w:space="0"/>
            </w:tcBorders>
            <w:shd w:val="clear" w:color="auto" w:fill="auto"/>
            <w:noWrap/>
            <w:vAlign w:val="bottom"/>
          </w:tcPr>
          <w:p>
            <w:pPr>
              <w:jc w:val="right"/>
              <w:rPr>
                <w:rFonts w:hint="eastAsia"/>
                <w:b/>
                <w:bCs/>
                <w:szCs w:val="21"/>
              </w:rPr>
            </w:pPr>
            <w:r>
              <w:rPr>
                <w:b/>
                <w:bCs/>
                <w:szCs w:val="21"/>
              </w:rPr>
              <w:t>100</w:t>
            </w:r>
            <w:r>
              <w:rPr>
                <w:rFonts w:hint="eastAsia"/>
                <w:b/>
                <w:bCs/>
                <w:szCs w:val="21"/>
              </w:rPr>
              <w:t>.0</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b/>
              </w:rPr>
            </w:pPr>
            <w:r>
              <w:rPr>
                <w:rFonts w:hint="eastAsia"/>
                <w:b/>
              </w:rPr>
              <w:t>100.0</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b/>
              </w:rPr>
            </w:pPr>
            <w:r>
              <w:rPr>
                <w:rFonts w:hint="eastAsia"/>
                <w:b/>
              </w:rPr>
              <w:t>100.0</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＃县以上</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73.2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73.4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73.3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64.0</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51.4</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50.1</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51.7</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 xml:space="preserve">  县及县以下</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26.8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26.7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26.7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36.0</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48.6</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49.9</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48.3</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＃东部地区</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40.2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45.7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48.1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44.4</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43.6</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41.6</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42.1</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cs="宋体"/>
                <w:kern w:val="0"/>
                <w:szCs w:val="21"/>
              </w:rPr>
            </w:pPr>
            <w:r>
              <w:rPr>
                <w:rFonts w:hint="eastAsia" w:ascii="宋体" w:hAnsi="宋体" w:cs="宋体"/>
                <w:kern w:val="0"/>
                <w:szCs w:val="21"/>
              </w:rPr>
              <w:t>中部地区</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28.6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23.8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22.9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24.3</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22.6</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22.9</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24.1</w:t>
            </w:r>
          </w:p>
        </w:tc>
      </w:tr>
      <w:tr>
        <w:tblPrEx>
          <w:tblCellMar>
            <w:top w:w="0" w:type="dxa"/>
            <w:left w:w="108" w:type="dxa"/>
            <w:bottom w:w="0" w:type="dxa"/>
            <w:right w:w="108" w:type="dxa"/>
          </w:tblCellMar>
        </w:tblPrEx>
        <w:trPr>
          <w:wBefore w:w="0" w:type="dxa"/>
          <w:wAfter w:w="0" w:type="dxa"/>
          <w:trHeight w:val="315" w:hRule="atLeast"/>
          <w:jc w:val="center"/>
        </w:trPr>
        <w:tc>
          <w:tcPr>
            <w:tcW w:w="72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Cs w:val="21"/>
              </w:rPr>
            </w:pPr>
          </w:p>
        </w:tc>
        <w:tc>
          <w:tcPr>
            <w:tcW w:w="1486" w:type="dxa"/>
            <w:tcBorders>
              <w:top w:val="nil"/>
              <w:left w:val="nil"/>
              <w:bottom w:val="single" w:color="auto" w:sz="4" w:space="0"/>
              <w:right w:val="single" w:color="auto" w:sz="4" w:space="0"/>
            </w:tcBorders>
            <w:shd w:val="clear" w:color="auto" w:fill="auto"/>
            <w:noWrap/>
            <w:vAlign w:val="center"/>
          </w:tcPr>
          <w:p>
            <w:pPr>
              <w:widowControl/>
              <w:ind w:firstLine="210" w:firstLineChars="100"/>
              <w:rPr>
                <w:rFonts w:ascii="宋体" w:hAnsi="宋体" w:cs="宋体"/>
                <w:kern w:val="0"/>
                <w:szCs w:val="21"/>
              </w:rPr>
            </w:pPr>
            <w:r>
              <w:rPr>
                <w:rFonts w:hint="eastAsia" w:ascii="宋体" w:hAnsi="宋体" w:cs="宋体"/>
                <w:kern w:val="0"/>
                <w:szCs w:val="21"/>
              </w:rPr>
              <w:t>西部地区</w:t>
            </w:r>
          </w:p>
        </w:tc>
        <w:tc>
          <w:tcPr>
            <w:tcW w:w="936"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24.9 </w:t>
            </w:r>
          </w:p>
        </w:tc>
        <w:tc>
          <w:tcPr>
            <w:tcW w:w="937" w:type="dxa"/>
            <w:tcBorders>
              <w:top w:val="nil"/>
              <w:left w:val="nil"/>
              <w:bottom w:val="single" w:color="auto" w:sz="4" w:space="0"/>
              <w:right w:val="single" w:color="auto" w:sz="4" w:space="0"/>
            </w:tcBorders>
            <w:shd w:val="clear" w:color="auto" w:fill="auto"/>
            <w:noWrap/>
            <w:vAlign w:val="center"/>
          </w:tcPr>
          <w:p>
            <w:pPr>
              <w:jc w:val="right"/>
            </w:pPr>
            <w:r>
              <w:rPr>
                <w:rFonts w:hint="eastAsia"/>
              </w:rPr>
              <w:t xml:space="preserve">21.7 </w:t>
            </w:r>
          </w:p>
        </w:tc>
        <w:tc>
          <w:tcPr>
            <w:tcW w:w="937" w:type="dxa"/>
            <w:tcBorders>
              <w:top w:val="nil"/>
              <w:left w:val="nil"/>
              <w:bottom w:val="single" w:color="auto" w:sz="4" w:space="0"/>
              <w:right w:val="single" w:color="auto" w:sz="4" w:space="0"/>
            </w:tcBorders>
            <w:shd w:val="clear" w:color="auto" w:fill="auto"/>
            <w:noWrap w:val="0"/>
            <w:vAlign w:val="center"/>
          </w:tcPr>
          <w:p>
            <w:pPr>
              <w:jc w:val="right"/>
            </w:pPr>
            <w:r>
              <w:rPr>
                <w:rFonts w:hint="eastAsia"/>
              </w:rPr>
              <w:t xml:space="preserve">20.6 </w:t>
            </w:r>
          </w:p>
        </w:tc>
        <w:tc>
          <w:tcPr>
            <w:tcW w:w="936"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26.6</w:t>
            </w:r>
          </w:p>
        </w:tc>
        <w:tc>
          <w:tcPr>
            <w:tcW w:w="937" w:type="dxa"/>
            <w:tcBorders>
              <w:top w:val="nil"/>
              <w:left w:val="nil"/>
              <w:bottom w:val="single" w:color="auto" w:sz="4" w:space="0"/>
              <w:right w:val="single" w:color="auto" w:sz="4" w:space="0"/>
            </w:tcBorders>
            <w:shd w:val="clear" w:color="auto" w:fill="auto"/>
            <w:noWrap/>
            <w:vAlign w:val="bottom"/>
          </w:tcPr>
          <w:p>
            <w:pPr>
              <w:jc w:val="right"/>
              <w:rPr>
                <w:szCs w:val="21"/>
              </w:rPr>
            </w:pPr>
            <w:r>
              <w:rPr>
                <w:szCs w:val="21"/>
              </w:rPr>
              <w:t>28.7</w:t>
            </w:r>
          </w:p>
        </w:tc>
        <w:tc>
          <w:tcPr>
            <w:tcW w:w="937" w:type="dxa"/>
            <w:tcBorders>
              <w:top w:val="nil"/>
              <w:left w:val="nil"/>
              <w:bottom w:val="single" w:color="auto" w:sz="4" w:space="0"/>
              <w:right w:val="single" w:color="auto" w:sz="4" w:space="0"/>
            </w:tcBorders>
            <w:shd w:val="clear" w:color="auto" w:fill="auto"/>
            <w:noWrap/>
            <w:vAlign w:val="center"/>
          </w:tcPr>
          <w:p>
            <w:pPr>
              <w:jc w:val="right"/>
              <w:rPr>
                <w:rFonts w:hint="eastAsia"/>
              </w:rPr>
            </w:pPr>
            <w:r>
              <w:rPr>
                <w:rFonts w:hint="eastAsia"/>
              </w:rPr>
              <w:t>29.3</w:t>
            </w:r>
          </w:p>
        </w:tc>
        <w:tc>
          <w:tcPr>
            <w:tcW w:w="937" w:type="dxa"/>
            <w:tcBorders>
              <w:top w:val="nil"/>
              <w:left w:val="nil"/>
              <w:bottom w:val="single" w:color="auto" w:sz="4" w:space="0"/>
              <w:right w:val="single" w:color="auto" w:sz="4" w:space="0"/>
            </w:tcBorders>
            <w:shd w:val="clear" w:color="auto" w:fill="auto"/>
            <w:noWrap w:val="0"/>
            <w:vAlign w:val="center"/>
          </w:tcPr>
          <w:p>
            <w:pPr>
              <w:jc w:val="right"/>
              <w:rPr>
                <w:rFonts w:hint="eastAsia"/>
              </w:rPr>
            </w:pPr>
            <w:r>
              <w:rPr>
                <w:rFonts w:hint="eastAsia"/>
              </w:rPr>
              <w:t>28.4</w:t>
            </w:r>
          </w:p>
        </w:tc>
      </w:tr>
    </w:tbl>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全年全国文物事业费</w:t>
      </w:r>
      <w:r>
        <w:rPr>
          <w:rFonts w:hint="eastAsia"/>
          <w:szCs w:val="21"/>
          <w:vertAlign w:val="superscript"/>
        </w:rPr>
        <w:t>[19]</w:t>
      </w:r>
      <w:r>
        <w:rPr>
          <w:rFonts w:hint="eastAsia" w:ascii="仿宋_GB2312" w:eastAsia="仿宋_GB2312"/>
          <w:sz w:val="32"/>
          <w:szCs w:val="32"/>
        </w:rPr>
        <w:t>280.37亿元，比上年增加32.50亿元，增长13.1%；文物事业费占财政总支出的比重为0.16%，比重比上年减少0.01个百分点。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据财政部统计，2015年全国财政支出中，文化体育传媒经费</w:t>
      </w:r>
      <w:r>
        <w:rPr>
          <w:rFonts w:hint="eastAsia"/>
          <w:szCs w:val="21"/>
          <w:vertAlign w:val="superscript"/>
        </w:rPr>
        <w:t>[20]</w:t>
      </w:r>
      <w:r>
        <w:rPr>
          <w:rFonts w:hint="eastAsia" w:ascii="仿宋_GB2312" w:eastAsia="仿宋_GB2312"/>
          <w:sz w:val="32"/>
          <w:szCs w:val="32"/>
        </w:rPr>
        <w:t>3067亿元，比上年增长14.0%，占财政支出的1.74%，比重比上年下降0.03个百分点。</w:t>
      </w:r>
    </w:p>
    <w:p>
      <w:pPr>
        <w:jc w:val="center"/>
        <w:rPr>
          <w:rFonts w:hint="eastAsia"/>
        </w:rPr>
      </w:pPr>
      <w:r>
        <w:drawing>
          <wp:inline distT="0" distB="0" distL="114300" distR="114300">
            <wp:extent cx="5269230" cy="2684145"/>
            <wp:effectExtent l="0" t="0" r="7620" b="190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5"/>
                    <a:stretch>
                      <a:fillRect/>
                    </a:stretch>
                  </pic:blipFill>
                  <pic:spPr>
                    <a:xfrm>
                      <a:off x="0" y="0"/>
                      <a:ext cx="5269230" cy="2684145"/>
                    </a:xfrm>
                    <a:prstGeom prst="rect">
                      <a:avLst/>
                    </a:prstGeom>
                    <a:noFill/>
                    <a:ln>
                      <a:noFill/>
                    </a:ln>
                  </pic:spPr>
                </pic:pic>
              </a:graphicData>
            </a:graphic>
          </wp:inline>
        </w:drawing>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注释：</w:t>
      </w:r>
    </w:p>
    <w:p>
      <w:pPr>
        <w:ind w:firstLine="560" w:firstLineChars="200"/>
        <w:rPr>
          <w:rFonts w:hint="eastAsia"/>
          <w:sz w:val="28"/>
          <w:szCs w:val="28"/>
        </w:rPr>
      </w:pPr>
      <w:r>
        <w:rPr>
          <w:rFonts w:hint="eastAsia"/>
          <w:sz w:val="28"/>
          <w:szCs w:val="28"/>
        </w:rPr>
        <w:t>[1]本公报中各项数据为初步统计数据。各项统计数据均未包括香港特别行政区、澳门特别行政区和台湾省。部分数据因四舍五入的原因，存在着与分项合计不等的情况。</w:t>
      </w:r>
    </w:p>
    <w:p>
      <w:pPr>
        <w:ind w:firstLine="560" w:firstLineChars="200"/>
        <w:rPr>
          <w:rFonts w:hint="eastAsia"/>
          <w:sz w:val="28"/>
          <w:szCs w:val="28"/>
        </w:rPr>
      </w:pPr>
      <w:r>
        <w:rPr>
          <w:rFonts w:hint="eastAsia"/>
          <w:sz w:val="28"/>
          <w:szCs w:val="28"/>
        </w:rPr>
        <w:t>[2]文化单位是指全国各级文化部门（含文化系统和文物系统）主办的或实行行业管理的文化机构，不含各级新闻出版、广播影视等部门主办或管理的文化机构。根据现行的统计制度，文化部门主办的文化单位（如公共图书馆、文化馆、文化站、博物馆、公有制艺术表演团体、公有制艺术表演场馆等）全部纳入了统计范围，实行行业管理的文化单位中，娱乐场所和互联网上网服务营业场所、非公有制艺术表演团体、非公有制艺术表演场馆、经营性互联网文化单位、艺术品经营机构和演出经纪机构均纳入统计。</w:t>
      </w:r>
    </w:p>
    <w:p>
      <w:pPr>
        <w:ind w:firstLine="560" w:firstLineChars="200"/>
        <w:rPr>
          <w:rFonts w:hint="eastAsia"/>
          <w:sz w:val="28"/>
          <w:szCs w:val="28"/>
        </w:rPr>
      </w:pPr>
      <w:r>
        <w:rPr>
          <w:rFonts w:hint="eastAsia"/>
          <w:sz w:val="28"/>
          <w:szCs w:val="28"/>
        </w:rPr>
        <w:t xml:space="preserve"> [3]从业人员是指在各级文化部门（含文化系统和文物系统）主办或实行行业管理的机构中工作并取得劳动报酬的人员。统计范围同文化单位。</w:t>
      </w:r>
    </w:p>
    <w:p>
      <w:pPr>
        <w:ind w:firstLine="560" w:firstLineChars="200"/>
        <w:rPr>
          <w:rFonts w:hint="eastAsia"/>
          <w:sz w:val="28"/>
          <w:szCs w:val="28"/>
        </w:rPr>
      </w:pPr>
      <w:r>
        <w:rPr>
          <w:rFonts w:hint="eastAsia"/>
          <w:sz w:val="28"/>
          <w:szCs w:val="28"/>
        </w:rPr>
        <w:t>[4]艺术表演团体指由文化部门主办或实行行业管理（经文化行政部门审批并领取营业性演出许可证），专门从事表演艺术等活动的各类专业艺术表演团体。</w:t>
      </w:r>
    </w:p>
    <w:p>
      <w:pPr>
        <w:ind w:firstLine="560" w:firstLineChars="200"/>
        <w:rPr>
          <w:rFonts w:hint="eastAsia"/>
          <w:sz w:val="28"/>
          <w:szCs w:val="28"/>
        </w:rPr>
      </w:pPr>
      <w:r>
        <w:rPr>
          <w:rFonts w:hint="eastAsia"/>
          <w:sz w:val="28"/>
          <w:szCs w:val="28"/>
        </w:rPr>
        <w:t>[5]公共图书馆是指由各级文化部门主办的、面向社会公众开放并提供科学、文化等各种知识普及教育的机构。</w:t>
      </w:r>
    </w:p>
    <w:p>
      <w:pPr>
        <w:ind w:firstLine="560" w:firstLineChars="200"/>
        <w:rPr>
          <w:rFonts w:hint="eastAsia"/>
          <w:sz w:val="28"/>
          <w:szCs w:val="28"/>
        </w:rPr>
      </w:pPr>
      <w:r>
        <w:rPr>
          <w:rFonts w:hint="eastAsia"/>
          <w:sz w:val="28"/>
          <w:szCs w:val="28"/>
        </w:rPr>
        <w:t>[6]公共图书馆总藏量指已编目的古籍、图书、期刊和报纸的合订本、手册、手稿，以及缩微制品、录像带、录音带、光盘等视听文献资料数量之和，不包括电子图书。</w:t>
      </w:r>
    </w:p>
    <w:p>
      <w:pPr>
        <w:ind w:firstLine="560" w:firstLineChars="200"/>
        <w:rPr>
          <w:rFonts w:hint="eastAsia"/>
          <w:sz w:val="28"/>
          <w:szCs w:val="28"/>
        </w:rPr>
      </w:pPr>
      <w:r>
        <w:rPr>
          <w:rFonts w:hint="eastAsia"/>
          <w:sz w:val="28"/>
          <w:szCs w:val="28"/>
        </w:rPr>
        <w:t>[7]公共图书馆发放的借书证数是指由公共图书馆发放，并在当年内使用过至少一次的借书证数。</w:t>
      </w:r>
    </w:p>
    <w:p>
      <w:pPr>
        <w:ind w:firstLine="560" w:firstLineChars="200"/>
        <w:rPr>
          <w:rFonts w:hint="eastAsia"/>
          <w:sz w:val="28"/>
          <w:szCs w:val="28"/>
        </w:rPr>
      </w:pPr>
      <w:r>
        <w:rPr>
          <w:rFonts w:hint="eastAsia"/>
          <w:sz w:val="28"/>
          <w:szCs w:val="28"/>
        </w:rPr>
        <w:t>[8]公共图书馆总流通人次是指本年度内到图书馆场馆接受图书馆服务的总人次，包括借阅书刊、咨询问题，以及参加各类读者活动等。</w:t>
      </w:r>
    </w:p>
    <w:p>
      <w:pPr>
        <w:ind w:firstLine="560" w:firstLineChars="200"/>
        <w:rPr>
          <w:rFonts w:hint="eastAsia"/>
          <w:sz w:val="28"/>
          <w:szCs w:val="28"/>
        </w:rPr>
      </w:pPr>
      <w:r>
        <w:rPr>
          <w:rFonts w:hint="eastAsia"/>
          <w:sz w:val="28"/>
          <w:szCs w:val="28"/>
        </w:rPr>
        <w:t>[9]群众文化机构是指各级文化部门主办的开展群众文化活动的场所，主要包括文化馆（含综合性文化中心、群众艺术馆）、文化站。</w:t>
      </w:r>
    </w:p>
    <w:p>
      <w:pPr>
        <w:ind w:firstLine="560" w:firstLineChars="200"/>
        <w:rPr>
          <w:rFonts w:hint="eastAsia"/>
          <w:sz w:val="28"/>
          <w:szCs w:val="28"/>
        </w:rPr>
      </w:pPr>
      <w:r>
        <w:rPr>
          <w:rFonts w:hint="eastAsia"/>
          <w:sz w:val="28"/>
          <w:szCs w:val="28"/>
        </w:rPr>
        <w:t>[10]群众文化机构组织开展活动是指组织文艺活动、举办训练班、举办展览和组织公益性讲座总和。</w:t>
      </w:r>
    </w:p>
    <w:p>
      <w:pPr>
        <w:ind w:firstLine="560" w:firstLineChars="200"/>
        <w:rPr>
          <w:rFonts w:hint="eastAsia"/>
          <w:sz w:val="28"/>
          <w:szCs w:val="28"/>
        </w:rPr>
      </w:pPr>
      <w:r>
        <w:rPr>
          <w:rFonts w:hint="eastAsia"/>
          <w:sz w:val="28"/>
          <w:szCs w:val="28"/>
        </w:rPr>
        <w:t>[11]群众文化机构馆办文艺团体指由本馆人员组成的为群众提供文艺演出的演出团队。</w:t>
      </w:r>
    </w:p>
    <w:p>
      <w:pPr>
        <w:ind w:firstLine="560" w:firstLineChars="200"/>
        <w:rPr>
          <w:rFonts w:hint="eastAsia"/>
          <w:sz w:val="28"/>
          <w:szCs w:val="28"/>
        </w:rPr>
      </w:pPr>
      <w:r>
        <w:rPr>
          <w:rFonts w:hint="eastAsia"/>
          <w:sz w:val="28"/>
          <w:szCs w:val="28"/>
        </w:rPr>
        <w:t>[12]文化市场经营单位指经文化市场行政部门审批或备案并领取相关许可或备案文件的、从事文化经营和文化服务活动的机构。按照现行统计制度，文化市场经营单位统计范围包括娱乐场所和互联网上网服务营业场所、非公有制艺术表演团体、非公有制艺术表演场馆、经营性互联网文化单位、艺术品经营机构和演出经纪机构。</w:t>
      </w:r>
    </w:p>
    <w:p>
      <w:pPr>
        <w:ind w:firstLine="560" w:firstLineChars="200"/>
        <w:rPr>
          <w:rFonts w:hint="eastAsia"/>
          <w:sz w:val="28"/>
          <w:szCs w:val="28"/>
        </w:rPr>
      </w:pPr>
      <w:r>
        <w:rPr>
          <w:rFonts w:hint="eastAsia"/>
          <w:sz w:val="28"/>
          <w:szCs w:val="28"/>
        </w:rPr>
        <w:t>[13]博物馆指为了研究、教育、欣赏的目的，收藏、保护、展示人类活动和自然环境的见证物，向公众开放，非营利性、永久性社会服务机构，包括以博物馆（院）、纪念馆（舍）、科技馆、陈列馆等专有名称开展活动的单位。</w:t>
      </w:r>
    </w:p>
    <w:p>
      <w:pPr>
        <w:ind w:firstLine="560" w:firstLineChars="200"/>
        <w:rPr>
          <w:rFonts w:hint="eastAsia"/>
          <w:sz w:val="28"/>
          <w:szCs w:val="28"/>
        </w:rPr>
      </w:pPr>
      <w:r>
        <w:rPr>
          <w:rFonts w:hint="eastAsia"/>
          <w:sz w:val="28"/>
          <w:szCs w:val="28"/>
        </w:rPr>
        <w:t>[14]基本陈列指在本馆布置陈列、地点固定、时间较长的展出。</w:t>
      </w:r>
    </w:p>
    <w:p>
      <w:pPr>
        <w:ind w:firstLine="560" w:firstLineChars="200"/>
        <w:rPr>
          <w:rFonts w:hint="eastAsia"/>
          <w:sz w:val="28"/>
          <w:szCs w:val="28"/>
        </w:rPr>
      </w:pPr>
      <w:r>
        <w:rPr>
          <w:rFonts w:hint="eastAsia"/>
          <w:sz w:val="28"/>
          <w:szCs w:val="28"/>
        </w:rPr>
        <w:t>[15]临时展览指在本机构内设置，由本馆设计布陈，形式比较多样的展出。</w:t>
      </w:r>
    </w:p>
    <w:p>
      <w:pPr>
        <w:ind w:firstLine="560" w:firstLineChars="200"/>
        <w:rPr>
          <w:rFonts w:hint="eastAsia"/>
          <w:sz w:val="28"/>
          <w:szCs w:val="28"/>
        </w:rPr>
      </w:pPr>
      <w:r>
        <w:rPr>
          <w:rFonts w:hint="eastAsia"/>
          <w:sz w:val="28"/>
          <w:szCs w:val="28"/>
        </w:rPr>
        <w:t>[16]非物质文化遗产保护机构是指各级非物质文化遗产保护中心或非物质文化遗产保护办公室。</w:t>
      </w:r>
    </w:p>
    <w:p>
      <w:pPr>
        <w:ind w:firstLine="560" w:firstLineChars="200"/>
        <w:rPr>
          <w:rFonts w:hint="eastAsia"/>
          <w:sz w:val="28"/>
          <w:szCs w:val="28"/>
        </w:rPr>
      </w:pPr>
      <w:r>
        <w:rPr>
          <w:rFonts w:hint="eastAsia"/>
          <w:sz w:val="28"/>
          <w:szCs w:val="28"/>
        </w:rPr>
        <w:t>[17]文化事业费是指区域内各级财政对文化系统主办单位的经费投入总和。一般包括艺术表演团体、公共图书馆、文化馆（站）等文化事业单位的财政拨款（不含基建拨款）及文化部门所属企业的财政补贴。根据现行统计口径，文化事业费不包括各级文化行政管理部门的行政运行经费。</w:t>
      </w:r>
    </w:p>
    <w:p>
      <w:pPr>
        <w:ind w:firstLine="560" w:firstLineChars="200"/>
        <w:rPr>
          <w:rFonts w:hint="eastAsia"/>
          <w:sz w:val="28"/>
          <w:szCs w:val="28"/>
        </w:rPr>
      </w:pPr>
      <w:r>
        <w:rPr>
          <w:rFonts w:hint="eastAsia"/>
          <w:sz w:val="28"/>
          <w:szCs w:val="28"/>
        </w:rPr>
        <w:t>[18]东部地区包括北京、天津、辽宁、上海、江苏、浙江、福建、山东、广东；中部地区包括河北、山西、吉林、黑龙江、安徽、江西、河南、湖北、湖南、海南；西部地区包括内蒙古、广西、重庆、四川、贵州、云南、西藏、陕西、甘肃、青海、宁夏、新疆。</w:t>
      </w:r>
    </w:p>
    <w:p>
      <w:pPr>
        <w:ind w:firstLine="560" w:firstLineChars="200"/>
        <w:rPr>
          <w:rFonts w:hint="eastAsia"/>
          <w:sz w:val="28"/>
          <w:szCs w:val="28"/>
        </w:rPr>
      </w:pPr>
      <w:r>
        <w:rPr>
          <w:rFonts w:hint="eastAsia"/>
          <w:sz w:val="28"/>
          <w:szCs w:val="28"/>
        </w:rPr>
        <w:t>[19]文物事业费是指区域内各级财政对文物事业的经费投入总和。一般包括博物馆、文物保护管理机构等文物事业单位的财政拨款（不含基建拨款）及文物部门所属企业的财政补贴。</w:t>
      </w:r>
    </w:p>
    <w:p>
      <w:pPr>
        <w:ind w:firstLine="560" w:firstLineChars="200"/>
        <w:rPr>
          <w:rFonts w:hint="eastAsia"/>
          <w:sz w:val="28"/>
          <w:szCs w:val="28"/>
        </w:rPr>
      </w:pPr>
      <w:r>
        <w:rPr>
          <w:rFonts w:hint="eastAsia"/>
          <w:sz w:val="28"/>
          <w:szCs w:val="28"/>
        </w:rPr>
        <w:t>[20]文化体育传媒经费数据源自财政部，是指各级政府在文化、文物、体育、广播影视和新闻出版方面的投入。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01"/>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MjVlMWI5MTViOGY5MjBkNTllZWVhY2VhYzVlZjgifQ=="/>
  </w:docVars>
  <w:rsids>
    <w:rsidRoot w:val="00DF0FA1"/>
    <w:rsid w:val="0000048F"/>
    <w:rsid w:val="0000069F"/>
    <w:rsid w:val="00000A8A"/>
    <w:rsid w:val="0000249B"/>
    <w:rsid w:val="00004AA0"/>
    <w:rsid w:val="00005312"/>
    <w:rsid w:val="00010CBE"/>
    <w:rsid w:val="00012481"/>
    <w:rsid w:val="000158D2"/>
    <w:rsid w:val="000168EB"/>
    <w:rsid w:val="00016B48"/>
    <w:rsid w:val="00023237"/>
    <w:rsid w:val="00027313"/>
    <w:rsid w:val="000273AE"/>
    <w:rsid w:val="00032C43"/>
    <w:rsid w:val="00042C8E"/>
    <w:rsid w:val="00042F89"/>
    <w:rsid w:val="00044CB6"/>
    <w:rsid w:val="0004532C"/>
    <w:rsid w:val="00045C02"/>
    <w:rsid w:val="000509F5"/>
    <w:rsid w:val="00051549"/>
    <w:rsid w:val="00051944"/>
    <w:rsid w:val="00052E42"/>
    <w:rsid w:val="00056D04"/>
    <w:rsid w:val="00060675"/>
    <w:rsid w:val="000608BC"/>
    <w:rsid w:val="000610E1"/>
    <w:rsid w:val="0006257A"/>
    <w:rsid w:val="00063ED9"/>
    <w:rsid w:val="000649F9"/>
    <w:rsid w:val="000673F2"/>
    <w:rsid w:val="000674CA"/>
    <w:rsid w:val="00070BA3"/>
    <w:rsid w:val="00071E3D"/>
    <w:rsid w:val="00074C80"/>
    <w:rsid w:val="000767CF"/>
    <w:rsid w:val="00076F96"/>
    <w:rsid w:val="0007753C"/>
    <w:rsid w:val="00077E64"/>
    <w:rsid w:val="00082C1E"/>
    <w:rsid w:val="00083688"/>
    <w:rsid w:val="000850B1"/>
    <w:rsid w:val="00087268"/>
    <w:rsid w:val="00090794"/>
    <w:rsid w:val="00090E23"/>
    <w:rsid w:val="000921D4"/>
    <w:rsid w:val="000A038A"/>
    <w:rsid w:val="000A1E4C"/>
    <w:rsid w:val="000A2650"/>
    <w:rsid w:val="000A26D9"/>
    <w:rsid w:val="000A33AD"/>
    <w:rsid w:val="000A58BC"/>
    <w:rsid w:val="000B0628"/>
    <w:rsid w:val="000B0F04"/>
    <w:rsid w:val="000B57EA"/>
    <w:rsid w:val="000B6497"/>
    <w:rsid w:val="000B6F29"/>
    <w:rsid w:val="000C0645"/>
    <w:rsid w:val="000C1D4E"/>
    <w:rsid w:val="000C34B3"/>
    <w:rsid w:val="000C35C5"/>
    <w:rsid w:val="000C5EB9"/>
    <w:rsid w:val="000D05D7"/>
    <w:rsid w:val="000D0F2A"/>
    <w:rsid w:val="000D1054"/>
    <w:rsid w:val="000D1551"/>
    <w:rsid w:val="000D2111"/>
    <w:rsid w:val="000D4F5C"/>
    <w:rsid w:val="000D663A"/>
    <w:rsid w:val="000D74B3"/>
    <w:rsid w:val="000E1AFE"/>
    <w:rsid w:val="000E1DD4"/>
    <w:rsid w:val="000E2F9B"/>
    <w:rsid w:val="000E51DD"/>
    <w:rsid w:val="000E64CD"/>
    <w:rsid w:val="000E67D2"/>
    <w:rsid w:val="000F04F5"/>
    <w:rsid w:val="000F42AF"/>
    <w:rsid w:val="000F4E23"/>
    <w:rsid w:val="000F50A4"/>
    <w:rsid w:val="000F6DF6"/>
    <w:rsid w:val="000F7318"/>
    <w:rsid w:val="000F779C"/>
    <w:rsid w:val="000F788A"/>
    <w:rsid w:val="00103CC3"/>
    <w:rsid w:val="00106512"/>
    <w:rsid w:val="00107F32"/>
    <w:rsid w:val="00113FBA"/>
    <w:rsid w:val="00114095"/>
    <w:rsid w:val="00114904"/>
    <w:rsid w:val="00115B63"/>
    <w:rsid w:val="00115D15"/>
    <w:rsid w:val="001162F5"/>
    <w:rsid w:val="0011658D"/>
    <w:rsid w:val="00116BBB"/>
    <w:rsid w:val="00116C12"/>
    <w:rsid w:val="00116D45"/>
    <w:rsid w:val="001170A3"/>
    <w:rsid w:val="00117126"/>
    <w:rsid w:val="0011780E"/>
    <w:rsid w:val="0011796E"/>
    <w:rsid w:val="00117ED6"/>
    <w:rsid w:val="00120E94"/>
    <w:rsid w:val="00121B34"/>
    <w:rsid w:val="0012252F"/>
    <w:rsid w:val="001230B3"/>
    <w:rsid w:val="00123B1E"/>
    <w:rsid w:val="00126407"/>
    <w:rsid w:val="00127AAD"/>
    <w:rsid w:val="00127C2A"/>
    <w:rsid w:val="001322E0"/>
    <w:rsid w:val="00135997"/>
    <w:rsid w:val="00137236"/>
    <w:rsid w:val="001373FC"/>
    <w:rsid w:val="0014195A"/>
    <w:rsid w:val="001441F4"/>
    <w:rsid w:val="0014422B"/>
    <w:rsid w:val="00144840"/>
    <w:rsid w:val="00145DB2"/>
    <w:rsid w:val="001473EE"/>
    <w:rsid w:val="00147889"/>
    <w:rsid w:val="00147D10"/>
    <w:rsid w:val="00150A8D"/>
    <w:rsid w:val="001513B4"/>
    <w:rsid w:val="00151D4B"/>
    <w:rsid w:val="001543B5"/>
    <w:rsid w:val="001559D7"/>
    <w:rsid w:val="00156999"/>
    <w:rsid w:val="00157B61"/>
    <w:rsid w:val="00161679"/>
    <w:rsid w:val="001631A7"/>
    <w:rsid w:val="001637A3"/>
    <w:rsid w:val="0016547C"/>
    <w:rsid w:val="0016554F"/>
    <w:rsid w:val="001706A6"/>
    <w:rsid w:val="00170C29"/>
    <w:rsid w:val="001743FC"/>
    <w:rsid w:val="00174505"/>
    <w:rsid w:val="00176C15"/>
    <w:rsid w:val="0018004C"/>
    <w:rsid w:val="0018182C"/>
    <w:rsid w:val="00183174"/>
    <w:rsid w:val="0018360D"/>
    <w:rsid w:val="00184114"/>
    <w:rsid w:val="001850DC"/>
    <w:rsid w:val="00185DF9"/>
    <w:rsid w:val="001869EB"/>
    <w:rsid w:val="00187ACC"/>
    <w:rsid w:val="00187BE9"/>
    <w:rsid w:val="001927A2"/>
    <w:rsid w:val="00192D1E"/>
    <w:rsid w:val="00193213"/>
    <w:rsid w:val="001A079F"/>
    <w:rsid w:val="001A16B6"/>
    <w:rsid w:val="001A18C7"/>
    <w:rsid w:val="001A35BF"/>
    <w:rsid w:val="001A3C77"/>
    <w:rsid w:val="001A4A98"/>
    <w:rsid w:val="001A6070"/>
    <w:rsid w:val="001A60DB"/>
    <w:rsid w:val="001A6D30"/>
    <w:rsid w:val="001A7540"/>
    <w:rsid w:val="001A7845"/>
    <w:rsid w:val="001B045A"/>
    <w:rsid w:val="001B1931"/>
    <w:rsid w:val="001B3B6B"/>
    <w:rsid w:val="001B3B99"/>
    <w:rsid w:val="001B3BB4"/>
    <w:rsid w:val="001B7659"/>
    <w:rsid w:val="001C2833"/>
    <w:rsid w:val="001C4C83"/>
    <w:rsid w:val="001C54D1"/>
    <w:rsid w:val="001C5EF2"/>
    <w:rsid w:val="001C62E2"/>
    <w:rsid w:val="001C65D1"/>
    <w:rsid w:val="001C7553"/>
    <w:rsid w:val="001C7E95"/>
    <w:rsid w:val="001D00E0"/>
    <w:rsid w:val="001D07E3"/>
    <w:rsid w:val="001D0AE9"/>
    <w:rsid w:val="001D0F05"/>
    <w:rsid w:val="001D3448"/>
    <w:rsid w:val="001D4979"/>
    <w:rsid w:val="001D5DC5"/>
    <w:rsid w:val="001D75F5"/>
    <w:rsid w:val="001D7B34"/>
    <w:rsid w:val="001D7CAE"/>
    <w:rsid w:val="001E0055"/>
    <w:rsid w:val="001E032F"/>
    <w:rsid w:val="001E1D9D"/>
    <w:rsid w:val="001E2BA1"/>
    <w:rsid w:val="001E300D"/>
    <w:rsid w:val="001E4E7A"/>
    <w:rsid w:val="001E5AAB"/>
    <w:rsid w:val="001F0552"/>
    <w:rsid w:val="001F0C3A"/>
    <w:rsid w:val="001F245A"/>
    <w:rsid w:val="001F2882"/>
    <w:rsid w:val="001F3CEA"/>
    <w:rsid w:val="001F581B"/>
    <w:rsid w:val="001F6DAE"/>
    <w:rsid w:val="001F6DBD"/>
    <w:rsid w:val="001F7C31"/>
    <w:rsid w:val="00200747"/>
    <w:rsid w:val="00201B52"/>
    <w:rsid w:val="002029E3"/>
    <w:rsid w:val="002041F4"/>
    <w:rsid w:val="002069DD"/>
    <w:rsid w:val="002071E9"/>
    <w:rsid w:val="0021013C"/>
    <w:rsid w:val="002103E4"/>
    <w:rsid w:val="002113D1"/>
    <w:rsid w:val="00211420"/>
    <w:rsid w:val="00212023"/>
    <w:rsid w:val="002138A8"/>
    <w:rsid w:val="002148E5"/>
    <w:rsid w:val="00215C73"/>
    <w:rsid w:val="00216090"/>
    <w:rsid w:val="00217397"/>
    <w:rsid w:val="002178C7"/>
    <w:rsid w:val="00217FEF"/>
    <w:rsid w:val="0022059D"/>
    <w:rsid w:val="002248EC"/>
    <w:rsid w:val="00224DB3"/>
    <w:rsid w:val="00225266"/>
    <w:rsid w:val="00226916"/>
    <w:rsid w:val="00226997"/>
    <w:rsid w:val="00227ECC"/>
    <w:rsid w:val="00230E8D"/>
    <w:rsid w:val="0023105B"/>
    <w:rsid w:val="002322E6"/>
    <w:rsid w:val="00233BFC"/>
    <w:rsid w:val="00235ED9"/>
    <w:rsid w:val="00236DB1"/>
    <w:rsid w:val="00236EBE"/>
    <w:rsid w:val="002420A3"/>
    <w:rsid w:val="002429D0"/>
    <w:rsid w:val="00243C49"/>
    <w:rsid w:val="00244948"/>
    <w:rsid w:val="00244FB2"/>
    <w:rsid w:val="00245122"/>
    <w:rsid w:val="00246392"/>
    <w:rsid w:val="002463D1"/>
    <w:rsid w:val="002472A2"/>
    <w:rsid w:val="00247AC3"/>
    <w:rsid w:val="002502B6"/>
    <w:rsid w:val="00252C23"/>
    <w:rsid w:val="00253D89"/>
    <w:rsid w:val="00254B4F"/>
    <w:rsid w:val="00255059"/>
    <w:rsid w:val="002552DD"/>
    <w:rsid w:val="00255602"/>
    <w:rsid w:val="00255789"/>
    <w:rsid w:val="00257B56"/>
    <w:rsid w:val="00263698"/>
    <w:rsid w:val="00263DE2"/>
    <w:rsid w:val="0026478C"/>
    <w:rsid w:val="00265477"/>
    <w:rsid w:val="0026574E"/>
    <w:rsid w:val="002661AE"/>
    <w:rsid w:val="00266AE5"/>
    <w:rsid w:val="00270A3F"/>
    <w:rsid w:val="00271E13"/>
    <w:rsid w:val="00272029"/>
    <w:rsid w:val="00272B13"/>
    <w:rsid w:val="00274F15"/>
    <w:rsid w:val="002762DD"/>
    <w:rsid w:val="00276963"/>
    <w:rsid w:val="00276AF8"/>
    <w:rsid w:val="00276BAA"/>
    <w:rsid w:val="0027751B"/>
    <w:rsid w:val="00282E9D"/>
    <w:rsid w:val="002834C9"/>
    <w:rsid w:val="00283A8E"/>
    <w:rsid w:val="00284043"/>
    <w:rsid w:val="00284AAE"/>
    <w:rsid w:val="00286000"/>
    <w:rsid w:val="00286F97"/>
    <w:rsid w:val="00287C4F"/>
    <w:rsid w:val="00290977"/>
    <w:rsid w:val="00292343"/>
    <w:rsid w:val="00294192"/>
    <w:rsid w:val="0029449E"/>
    <w:rsid w:val="00294DEF"/>
    <w:rsid w:val="0029555E"/>
    <w:rsid w:val="002969D4"/>
    <w:rsid w:val="0029745F"/>
    <w:rsid w:val="00297963"/>
    <w:rsid w:val="00297F84"/>
    <w:rsid w:val="002A0AD2"/>
    <w:rsid w:val="002A1B8A"/>
    <w:rsid w:val="002A1F51"/>
    <w:rsid w:val="002A556B"/>
    <w:rsid w:val="002A59B5"/>
    <w:rsid w:val="002A7AAA"/>
    <w:rsid w:val="002A7F12"/>
    <w:rsid w:val="002B197E"/>
    <w:rsid w:val="002B3050"/>
    <w:rsid w:val="002B4B53"/>
    <w:rsid w:val="002B4EBB"/>
    <w:rsid w:val="002B54BC"/>
    <w:rsid w:val="002B5AFE"/>
    <w:rsid w:val="002B7166"/>
    <w:rsid w:val="002C12CE"/>
    <w:rsid w:val="002C2C52"/>
    <w:rsid w:val="002C382F"/>
    <w:rsid w:val="002C3E6F"/>
    <w:rsid w:val="002C6291"/>
    <w:rsid w:val="002C6F77"/>
    <w:rsid w:val="002D0446"/>
    <w:rsid w:val="002D08A6"/>
    <w:rsid w:val="002D0ADB"/>
    <w:rsid w:val="002D269F"/>
    <w:rsid w:val="002D3353"/>
    <w:rsid w:val="002D5965"/>
    <w:rsid w:val="002E1B39"/>
    <w:rsid w:val="002E20BC"/>
    <w:rsid w:val="002E71EC"/>
    <w:rsid w:val="002F0639"/>
    <w:rsid w:val="002F1EF4"/>
    <w:rsid w:val="002F25CA"/>
    <w:rsid w:val="002F263F"/>
    <w:rsid w:val="002F5653"/>
    <w:rsid w:val="002F7FF3"/>
    <w:rsid w:val="0030091E"/>
    <w:rsid w:val="00300B90"/>
    <w:rsid w:val="00303492"/>
    <w:rsid w:val="00304BF2"/>
    <w:rsid w:val="00306350"/>
    <w:rsid w:val="00306FFB"/>
    <w:rsid w:val="00310319"/>
    <w:rsid w:val="003113A9"/>
    <w:rsid w:val="00313859"/>
    <w:rsid w:val="00313E81"/>
    <w:rsid w:val="003155C0"/>
    <w:rsid w:val="0031704D"/>
    <w:rsid w:val="0032024E"/>
    <w:rsid w:val="003208DD"/>
    <w:rsid w:val="00321296"/>
    <w:rsid w:val="0032233A"/>
    <w:rsid w:val="003224FF"/>
    <w:rsid w:val="00325E2C"/>
    <w:rsid w:val="00326A30"/>
    <w:rsid w:val="003279AC"/>
    <w:rsid w:val="003300E3"/>
    <w:rsid w:val="00332BD9"/>
    <w:rsid w:val="00334016"/>
    <w:rsid w:val="003345AD"/>
    <w:rsid w:val="003374CD"/>
    <w:rsid w:val="00337992"/>
    <w:rsid w:val="003411FD"/>
    <w:rsid w:val="00341A95"/>
    <w:rsid w:val="00342E24"/>
    <w:rsid w:val="00343583"/>
    <w:rsid w:val="00343C17"/>
    <w:rsid w:val="003449F2"/>
    <w:rsid w:val="00347C07"/>
    <w:rsid w:val="0035092B"/>
    <w:rsid w:val="00350ACD"/>
    <w:rsid w:val="00352734"/>
    <w:rsid w:val="0035296C"/>
    <w:rsid w:val="003561E5"/>
    <w:rsid w:val="00357666"/>
    <w:rsid w:val="00362188"/>
    <w:rsid w:val="003621F3"/>
    <w:rsid w:val="0036759A"/>
    <w:rsid w:val="003744E9"/>
    <w:rsid w:val="0037453B"/>
    <w:rsid w:val="00374EFC"/>
    <w:rsid w:val="003753B7"/>
    <w:rsid w:val="00375536"/>
    <w:rsid w:val="00376275"/>
    <w:rsid w:val="00377A1C"/>
    <w:rsid w:val="003807B3"/>
    <w:rsid w:val="003819F2"/>
    <w:rsid w:val="00381C4A"/>
    <w:rsid w:val="003848E1"/>
    <w:rsid w:val="00384F60"/>
    <w:rsid w:val="00390ADB"/>
    <w:rsid w:val="0039104E"/>
    <w:rsid w:val="00391694"/>
    <w:rsid w:val="00392A76"/>
    <w:rsid w:val="00394D49"/>
    <w:rsid w:val="003979C9"/>
    <w:rsid w:val="00397E44"/>
    <w:rsid w:val="003A01FC"/>
    <w:rsid w:val="003A0CF2"/>
    <w:rsid w:val="003A0ECB"/>
    <w:rsid w:val="003A0F95"/>
    <w:rsid w:val="003A18ED"/>
    <w:rsid w:val="003A2784"/>
    <w:rsid w:val="003A7F90"/>
    <w:rsid w:val="003B1904"/>
    <w:rsid w:val="003B207B"/>
    <w:rsid w:val="003B39CB"/>
    <w:rsid w:val="003B7755"/>
    <w:rsid w:val="003B776E"/>
    <w:rsid w:val="003C0DB4"/>
    <w:rsid w:val="003C1507"/>
    <w:rsid w:val="003C1766"/>
    <w:rsid w:val="003C2F2B"/>
    <w:rsid w:val="003C36E9"/>
    <w:rsid w:val="003C3A74"/>
    <w:rsid w:val="003C4907"/>
    <w:rsid w:val="003C4C98"/>
    <w:rsid w:val="003C5709"/>
    <w:rsid w:val="003C645C"/>
    <w:rsid w:val="003C67A8"/>
    <w:rsid w:val="003C6CA0"/>
    <w:rsid w:val="003C7662"/>
    <w:rsid w:val="003D01F1"/>
    <w:rsid w:val="003D14D7"/>
    <w:rsid w:val="003D1A8F"/>
    <w:rsid w:val="003D1A98"/>
    <w:rsid w:val="003D1C0C"/>
    <w:rsid w:val="003D3772"/>
    <w:rsid w:val="003D418A"/>
    <w:rsid w:val="003D66A7"/>
    <w:rsid w:val="003D6828"/>
    <w:rsid w:val="003D78A2"/>
    <w:rsid w:val="003E0B32"/>
    <w:rsid w:val="003E11B0"/>
    <w:rsid w:val="003E3F65"/>
    <w:rsid w:val="003E4552"/>
    <w:rsid w:val="003E4D85"/>
    <w:rsid w:val="003E5D53"/>
    <w:rsid w:val="003E70B1"/>
    <w:rsid w:val="003F2D52"/>
    <w:rsid w:val="003F48D4"/>
    <w:rsid w:val="003F5938"/>
    <w:rsid w:val="003F77C4"/>
    <w:rsid w:val="003F796E"/>
    <w:rsid w:val="00400A65"/>
    <w:rsid w:val="00403D68"/>
    <w:rsid w:val="00404122"/>
    <w:rsid w:val="00405197"/>
    <w:rsid w:val="00406757"/>
    <w:rsid w:val="00407303"/>
    <w:rsid w:val="00410D11"/>
    <w:rsid w:val="00412312"/>
    <w:rsid w:val="0041237A"/>
    <w:rsid w:val="004131A8"/>
    <w:rsid w:val="00413754"/>
    <w:rsid w:val="00413B82"/>
    <w:rsid w:val="004143ED"/>
    <w:rsid w:val="004146E4"/>
    <w:rsid w:val="00414E8C"/>
    <w:rsid w:val="00415435"/>
    <w:rsid w:val="00416FE3"/>
    <w:rsid w:val="00417086"/>
    <w:rsid w:val="004177B7"/>
    <w:rsid w:val="00417FB5"/>
    <w:rsid w:val="00421201"/>
    <w:rsid w:val="00421585"/>
    <w:rsid w:val="0042331B"/>
    <w:rsid w:val="004238DB"/>
    <w:rsid w:val="00426D29"/>
    <w:rsid w:val="004270F7"/>
    <w:rsid w:val="00427D96"/>
    <w:rsid w:val="004306F8"/>
    <w:rsid w:val="00432046"/>
    <w:rsid w:val="00432B12"/>
    <w:rsid w:val="00433058"/>
    <w:rsid w:val="00433675"/>
    <w:rsid w:val="00434286"/>
    <w:rsid w:val="00436F0A"/>
    <w:rsid w:val="00441D99"/>
    <w:rsid w:val="00441F4F"/>
    <w:rsid w:val="00442F3D"/>
    <w:rsid w:val="00443A61"/>
    <w:rsid w:val="00443DF7"/>
    <w:rsid w:val="00444BFC"/>
    <w:rsid w:val="00444C18"/>
    <w:rsid w:val="004470F1"/>
    <w:rsid w:val="00452C97"/>
    <w:rsid w:val="0045403B"/>
    <w:rsid w:val="00456784"/>
    <w:rsid w:val="00462242"/>
    <w:rsid w:val="0046271F"/>
    <w:rsid w:val="00462D2E"/>
    <w:rsid w:val="00464903"/>
    <w:rsid w:val="00467083"/>
    <w:rsid w:val="004670CE"/>
    <w:rsid w:val="00467B55"/>
    <w:rsid w:val="0047154F"/>
    <w:rsid w:val="0047305B"/>
    <w:rsid w:val="00475645"/>
    <w:rsid w:val="0047629E"/>
    <w:rsid w:val="00477444"/>
    <w:rsid w:val="00483057"/>
    <w:rsid w:val="004834CF"/>
    <w:rsid w:val="0048384B"/>
    <w:rsid w:val="00484801"/>
    <w:rsid w:val="00485CB3"/>
    <w:rsid w:val="004936B4"/>
    <w:rsid w:val="00493D23"/>
    <w:rsid w:val="00495C4F"/>
    <w:rsid w:val="004969CA"/>
    <w:rsid w:val="00497368"/>
    <w:rsid w:val="004A03B6"/>
    <w:rsid w:val="004A33B7"/>
    <w:rsid w:val="004A4AB4"/>
    <w:rsid w:val="004A552C"/>
    <w:rsid w:val="004A776E"/>
    <w:rsid w:val="004A7812"/>
    <w:rsid w:val="004A79D5"/>
    <w:rsid w:val="004B0F0B"/>
    <w:rsid w:val="004B1F3C"/>
    <w:rsid w:val="004B2534"/>
    <w:rsid w:val="004B356E"/>
    <w:rsid w:val="004B4856"/>
    <w:rsid w:val="004B5971"/>
    <w:rsid w:val="004B65C9"/>
    <w:rsid w:val="004B779D"/>
    <w:rsid w:val="004C1E65"/>
    <w:rsid w:val="004C4B7C"/>
    <w:rsid w:val="004C57BF"/>
    <w:rsid w:val="004C75A1"/>
    <w:rsid w:val="004D165C"/>
    <w:rsid w:val="004D240D"/>
    <w:rsid w:val="004D4F9B"/>
    <w:rsid w:val="004D5E94"/>
    <w:rsid w:val="004D5F81"/>
    <w:rsid w:val="004D7B44"/>
    <w:rsid w:val="004E2B2C"/>
    <w:rsid w:val="004E3A5D"/>
    <w:rsid w:val="004E5733"/>
    <w:rsid w:val="004E577E"/>
    <w:rsid w:val="004F03E9"/>
    <w:rsid w:val="004F06CD"/>
    <w:rsid w:val="004F0E82"/>
    <w:rsid w:val="004F28D7"/>
    <w:rsid w:val="004F2B2A"/>
    <w:rsid w:val="004F2EB0"/>
    <w:rsid w:val="004F3F64"/>
    <w:rsid w:val="004F5BFE"/>
    <w:rsid w:val="005049E6"/>
    <w:rsid w:val="0050588D"/>
    <w:rsid w:val="00505BDC"/>
    <w:rsid w:val="00507C8D"/>
    <w:rsid w:val="00514FAC"/>
    <w:rsid w:val="005159A5"/>
    <w:rsid w:val="005176A0"/>
    <w:rsid w:val="00521B20"/>
    <w:rsid w:val="00523646"/>
    <w:rsid w:val="00524930"/>
    <w:rsid w:val="0052500E"/>
    <w:rsid w:val="005255B1"/>
    <w:rsid w:val="005269C9"/>
    <w:rsid w:val="0053040E"/>
    <w:rsid w:val="00531A6F"/>
    <w:rsid w:val="0053346A"/>
    <w:rsid w:val="0053388A"/>
    <w:rsid w:val="00533A21"/>
    <w:rsid w:val="00534E0E"/>
    <w:rsid w:val="00534EC3"/>
    <w:rsid w:val="0053562A"/>
    <w:rsid w:val="00540996"/>
    <w:rsid w:val="005437DA"/>
    <w:rsid w:val="00544BE3"/>
    <w:rsid w:val="00545620"/>
    <w:rsid w:val="0054576D"/>
    <w:rsid w:val="005518AA"/>
    <w:rsid w:val="00553295"/>
    <w:rsid w:val="005542F6"/>
    <w:rsid w:val="00555622"/>
    <w:rsid w:val="00557202"/>
    <w:rsid w:val="005579F8"/>
    <w:rsid w:val="00561878"/>
    <w:rsid w:val="00562515"/>
    <w:rsid w:val="005644B0"/>
    <w:rsid w:val="00571ACA"/>
    <w:rsid w:val="00572A0D"/>
    <w:rsid w:val="00573627"/>
    <w:rsid w:val="005773D0"/>
    <w:rsid w:val="005775B9"/>
    <w:rsid w:val="00580659"/>
    <w:rsid w:val="00582043"/>
    <w:rsid w:val="00584199"/>
    <w:rsid w:val="005841A3"/>
    <w:rsid w:val="00585011"/>
    <w:rsid w:val="005855B0"/>
    <w:rsid w:val="005856A8"/>
    <w:rsid w:val="00585B29"/>
    <w:rsid w:val="005860E8"/>
    <w:rsid w:val="0058699E"/>
    <w:rsid w:val="005879FA"/>
    <w:rsid w:val="005907D6"/>
    <w:rsid w:val="00590A74"/>
    <w:rsid w:val="005927A8"/>
    <w:rsid w:val="00592C76"/>
    <w:rsid w:val="00594FDA"/>
    <w:rsid w:val="0059581D"/>
    <w:rsid w:val="00595CDD"/>
    <w:rsid w:val="005964FF"/>
    <w:rsid w:val="00596A3D"/>
    <w:rsid w:val="00597F96"/>
    <w:rsid w:val="005A0B3E"/>
    <w:rsid w:val="005A18DC"/>
    <w:rsid w:val="005A1AA9"/>
    <w:rsid w:val="005A44D4"/>
    <w:rsid w:val="005A4DC6"/>
    <w:rsid w:val="005A553B"/>
    <w:rsid w:val="005A5E50"/>
    <w:rsid w:val="005A6EE4"/>
    <w:rsid w:val="005A712B"/>
    <w:rsid w:val="005A7ED8"/>
    <w:rsid w:val="005B1246"/>
    <w:rsid w:val="005B2021"/>
    <w:rsid w:val="005B4E02"/>
    <w:rsid w:val="005B7357"/>
    <w:rsid w:val="005B79F5"/>
    <w:rsid w:val="005C0A6A"/>
    <w:rsid w:val="005C0D05"/>
    <w:rsid w:val="005C1843"/>
    <w:rsid w:val="005C5096"/>
    <w:rsid w:val="005C590B"/>
    <w:rsid w:val="005C7911"/>
    <w:rsid w:val="005C7C5F"/>
    <w:rsid w:val="005C7EA6"/>
    <w:rsid w:val="005D0776"/>
    <w:rsid w:val="005D1B06"/>
    <w:rsid w:val="005D1CC2"/>
    <w:rsid w:val="005D1CE7"/>
    <w:rsid w:val="005D2778"/>
    <w:rsid w:val="005D2ABF"/>
    <w:rsid w:val="005D39D1"/>
    <w:rsid w:val="005D6347"/>
    <w:rsid w:val="005E0187"/>
    <w:rsid w:val="005E0502"/>
    <w:rsid w:val="005E0C17"/>
    <w:rsid w:val="005E33D4"/>
    <w:rsid w:val="005E3432"/>
    <w:rsid w:val="005E3D60"/>
    <w:rsid w:val="005E5F8A"/>
    <w:rsid w:val="005E7A6A"/>
    <w:rsid w:val="005E7F83"/>
    <w:rsid w:val="005F0490"/>
    <w:rsid w:val="005F14F3"/>
    <w:rsid w:val="005F1DE0"/>
    <w:rsid w:val="005F2C43"/>
    <w:rsid w:val="005F2C5D"/>
    <w:rsid w:val="005F3116"/>
    <w:rsid w:val="005F3B14"/>
    <w:rsid w:val="005F4489"/>
    <w:rsid w:val="005F4707"/>
    <w:rsid w:val="005F54DC"/>
    <w:rsid w:val="005F5888"/>
    <w:rsid w:val="005F71F8"/>
    <w:rsid w:val="00600976"/>
    <w:rsid w:val="00602200"/>
    <w:rsid w:val="00603E01"/>
    <w:rsid w:val="00605F47"/>
    <w:rsid w:val="00606472"/>
    <w:rsid w:val="00607813"/>
    <w:rsid w:val="00612D19"/>
    <w:rsid w:val="00612E91"/>
    <w:rsid w:val="00614439"/>
    <w:rsid w:val="00615113"/>
    <w:rsid w:val="00617D97"/>
    <w:rsid w:val="00621B8A"/>
    <w:rsid w:val="00623BC2"/>
    <w:rsid w:val="006240E5"/>
    <w:rsid w:val="00625B6D"/>
    <w:rsid w:val="00626FC1"/>
    <w:rsid w:val="0063115D"/>
    <w:rsid w:val="00631BC4"/>
    <w:rsid w:val="00631EB2"/>
    <w:rsid w:val="006349DC"/>
    <w:rsid w:val="00634FB5"/>
    <w:rsid w:val="0063585B"/>
    <w:rsid w:val="00637D8F"/>
    <w:rsid w:val="00640304"/>
    <w:rsid w:val="00641FA6"/>
    <w:rsid w:val="0064411B"/>
    <w:rsid w:val="0064556A"/>
    <w:rsid w:val="0064655F"/>
    <w:rsid w:val="006469B5"/>
    <w:rsid w:val="00647857"/>
    <w:rsid w:val="00650102"/>
    <w:rsid w:val="0065063C"/>
    <w:rsid w:val="006517A7"/>
    <w:rsid w:val="00652CC2"/>
    <w:rsid w:val="00653521"/>
    <w:rsid w:val="00653D59"/>
    <w:rsid w:val="0065470A"/>
    <w:rsid w:val="00654E1E"/>
    <w:rsid w:val="00656BB6"/>
    <w:rsid w:val="00656D81"/>
    <w:rsid w:val="00657689"/>
    <w:rsid w:val="006577A0"/>
    <w:rsid w:val="00660149"/>
    <w:rsid w:val="006609D4"/>
    <w:rsid w:val="00661EF1"/>
    <w:rsid w:val="00662F56"/>
    <w:rsid w:val="00663712"/>
    <w:rsid w:val="006639EF"/>
    <w:rsid w:val="00664BA9"/>
    <w:rsid w:val="00667F91"/>
    <w:rsid w:val="0067045D"/>
    <w:rsid w:val="006712C5"/>
    <w:rsid w:val="00671B75"/>
    <w:rsid w:val="006720DA"/>
    <w:rsid w:val="006757B4"/>
    <w:rsid w:val="006771E9"/>
    <w:rsid w:val="00680125"/>
    <w:rsid w:val="0068128B"/>
    <w:rsid w:val="00681486"/>
    <w:rsid w:val="00681C26"/>
    <w:rsid w:val="00682288"/>
    <w:rsid w:val="006851DA"/>
    <w:rsid w:val="006859DE"/>
    <w:rsid w:val="00687F06"/>
    <w:rsid w:val="00690A83"/>
    <w:rsid w:val="006918F5"/>
    <w:rsid w:val="00693AD0"/>
    <w:rsid w:val="00695159"/>
    <w:rsid w:val="00695953"/>
    <w:rsid w:val="00695DBD"/>
    <w:rsid w:val="00695E1A"/>
    <w:rsid w:val="0069633A"/>
    <w:rsid w:val="00697C78"/>
    <w:rsid w:val="00697E25"/>
    <w:rsid w:val="006A1E0D"/>
    <w:rsid w:val="006A2193"/>
    <w:rsid w:val="006A2AC1"/>
    <w:rsid w:val="006A4802"/>
    <w:rsid w:val="006A55A8"/>
    <w:rsid w:val="006A72DA"/>
    <w:rsid w:val="006A7C68"/>
    <w:rsid w:val="006B1ACB"/>
    <w:rsid w:val="006B1BC9"/>
    <w:rsid w:val="006B2807"/>
    <w:rsid w:val="006B2C9A"/>
    <w:rsid w:val="006B4458"/>
    <w:rsid w:val="006B4E69"/>
    <w:rsid w:val="006B5C43"/>
    <w:rsid w:val="006B734C"/>
    <w:rsid w:val="006C126C"/>
    <w:rsid w:val="006C127F"/>
    <w:rsid w:val="006C28F6"/>
    <w:rsid w:val="006C3000"/>
    <w:rsid w:val="006C57CA"/>
    <w:rsid w:val="006C6424"/>
    <w:rsid w:val="006C690A"/>
    <w:rsid w:val="006C74D4"/>
    <w:rsid w:val="006D45CF"/>
    <w:rsid w:val="006D507D"/>
    <w:rsid w:val="006D59A8"/>
    <w:rsid w:val="006D6B28"/>
    <w:rsid w:val="006D7CE9"/>
    <w:rsid w:val="006E0775"/>
    <w:rsid w:val="006E377B"/>
    <w:rsid w:val="006E6C48"/>
    <w:rsid w:val="006E6C94"/>
    <w:rsid w:val="006E7410"/>
    <w:rsid w:val="006E783D"/>
    <w:rsid w:val="006E7A2B"/>
    <w:rsid w:val="006F0F98"/>
    <w:rsid w:val="006F3965"/>
    <w:rsid w:val="006F40D6"/>
    <w:rsid w:val="006F4CEB"/>
    <w:rsid w:val="006F5B61"/>
    <w:rsid w:val="006F5EE3"/>
    <w:rsid w:val="006F68B2"/>
    <w:rsid w:val="006F6B42"/>
    <w:rsid w:val="006F74FD"/>
    <w:rsid w:val="00700481"/>
    <w:rsid w:val="007007C7"/>
    <w:rsid w:val="007029B1"/>
    <w:rsid w:val="00703048"/>
    <w:rsid w:val="00706909"/>
    <w:rsid w:val="007075D3"/>
    <w:rsid w:val="00710151"/>
    <w:rsid w:val="00712C03"/>
    <w:rsid w:val="0071332F"/>
    <w:rsid w:val="00713723"/>
    <w:rsid w:val="00714602"/>
    <w:rsid w:val="00715821"/>
    <w:rsid w:val="00716766"/>
    <w:rsid w:val="007173AF"/>
    <w:rsid w:val="00717949"/>
    <w:rsid w:val="00717E9D"/>
    <w:rsid w:val="007215F6"/>
    <w:rsid w:val="0072399D"/>
    <w:rsid w:val="007247BA"/>
    <w:rsid w:val="00724CB9"/>
    <w:rsid w:val="00725DA9"/>
    <w:rsid w:val="0072793D"/>
    <w:rsid w:val="0073469B"/>
    <w:rsid w:val="00734E74"/>
    <w:rsid w:val="007354E2"/>
    <w:rsid w:val="00735596"/>
    <w:rsid w:val="007357E4"/>
    <w:rsid w:val="00735EE0"/>
    <w:rsid w:val="00741190"/>
    <w:rsid w:val="0074393A"/>
    <w:rsid w:val="00743F5B"/>
    <w:rsid w:val="0074417A"/>
    <w:rsid w:val="00745EE3"/>
    <w:rsid w:val="00746646"/>
    <w:rsid w:val="007473A3"/>
    <w:rsid w:val="00751880"/>
    <w:rsid w:val="007532E6"/>
    <w:rsid w:val="00753389"/>
    <w:rsid w:val="00757053"/>
    <w:rsid w:val="00760F17"/>
    <w:rsid w:val="0076591C"/>
    <w:rsid w:val="007723AE"/>
    <w:rsid w:val="00773AAC"/>
    <w:rsid w:val="00773F3A"/>
    <w:rsid w:val="00773FBF"/>
    <w:rsid w:val="0077520A"/>
    <w:rsid w:val="0078086F"/>
    <w:rsid w:val="00780CB7"/>
    <w:rsid w:val="00780CE0"/>
    <w:rsid w:val="007810E2"/>
    <w:rsid w:val="00783783"/>
    <w:rsid w:val="007850D4"/>
    <w:rsid w:val="00785281"/>
    <w:rsid w:val="00786EC7"/>
    <w:rsid w:val="00787509"/>
    <w:rsid w:val="007903C6"/>
    <w:rsid w:val="007904DE"/>
    <w:rsid w:val="00790FDD"/>
    <w:rsid w:val="0079241B"/>
    <w:rsid w:val="00792AC7"/>
    <w:rsid w:val="00792E2B"/>
    <w:rsid w:val="007935B4"/>
    <w:rsid w:val="007942C6"/>
    <w:rsid w:val="00794AEC"/>
    <w:rsid w:val="0079592D"/>
    <w:rsid w:val="0079718F"/>
    <w:rsid w:val="00797668"/>
    <w:rsid w:val="00797CED"/>
    <w:rsid w:val="007A0FF2"/>
    <w:rsid w:val="007A18DD"/>
    <w:rsid w:val="007A3056"/>
    <w:rsid w:val="007A515F"/>
    <w:rsid w:val="007A59EC"/>
    <w:rsid w:val="007A6A65"/>
    <w:rsid w:val="007B23A6"/>
    <w:rsid w:val="007B2575"/>
    <w:rsid w:val="007B57EE"/>
    <w:rsid w:val="007B7B37"/>
    <w:rsid w:val="007B7D70"/>
    <w:rsid w:val="007C0A50"/>
    <w:rsid w:val="007C0D80"/>
    <w:rsid w:val="007C27C3"/>
    <w:rsid w:val="007C345C"/>
    <w:rsid w:val="007C4F17"/>
    <w:rsid w:val="007C5B1C"/>
    <w:rsid w:val="007C6B01"/>
    <w:rsid w:val="007D2007"/>
    <w:rsid w:val="007D3801"/>
    <w:rsid w:val="007D4BED"/>
    <w:rsid w:val="007D4CEB"/>
    <w:rsid w:val="007E0BD2"/>
    <w:rsid w:val="007E35A2"/>
    <w:rsid w:val="007E4E55"/>
    <w:rsid w:val="007E5627"/>
    <w:rsid w:val="007E5B45"/>
    <w:rsid w:val="007F0A47"/>
    <w:rsid w:val="007F435C"/>
    <w:rsid w:val="007F518A"/>
    <w:rsid w:val="007F540E"/>
    <w:rsid w:val="007F56E6"/>
    <w:rsid w:val="007F6DAC"/>
    <w:rsid w:val="007F7188"/>
    <w:rsid w:val="008003C8"/>
    <w:rsid w:val="0080109C"/>
    <w:rsid w:val="00801FF2"/>
    <w:rsid w:val="00802DFC"/>
    <w:rsid w:val="00803B0D"/>
    <w:rsid w:val="00803D95"/>
    <w:rsid w:val="008046B2"/>
    <w:rsid w:val="0080559F"/>
    <w:rsid w:val="00805E44"/>
    <w:rsid w:val="0080693E"/>
    <w:rsid w:val="0080749D"/>
    <w:rsid w:val="00810840"/>
    <w:rsid w:val="00811374"/>
    <w:rsid w:val="0081220F"/>
    <w:rsid w:val="00813C8B"/>
    <w:rsid w:val="00814E67"/>
    <w:rsid w:val="00814FAB"/>
    <w:rsid w:val="00816618"/>
    <w:rsid w:val="00817537"/>
    <w:rsid w:val="008176E2"/>
    <w:rsid w:val="00820960"/>
    <w:rsid w:val="0082254E"/>
    <w:rsid w:val="00822A9F"/>
    <w:rsid w:val="0082581B"/>
    <w:rsid w:val="008267C9"/>
    <w:rsid w:val="00826D26"/>
    <w:rsid w:val="008303BC"/>
    <w:rsid w:val="008312E6"/>
    <w:rsid w:val="00831727"/>
    <w:rsid w:val="00832C90"/>
    <w:rsid w:val="00833954"/>
    <w:rsid w:val="00833C9E"/>
    <w:rsid w:val="00835842"/>
    <w:rsid w:val="008368D3"/>
    <w:rsid w:val="00840D97"/>
    <w:rsid w:val="008418B9"/>
    <w:rsid w:val="00841915"/>
    <w:rsid w:val="008425D4"/>
    <w:rsid w:val="00842EC6"/>
    <w:rsid w:val="00842FA1"/>
    <w:rsid w:val="00843130"/>
    <w:rsid w:val="00843212"/>
    <w:rsid w:val="00844F8D"/>
    <w:rsid w:val="008463D2"/>
    <w:rsid w:val="00851905"/>
    <w:rsid w:val="00851DEB"/>
    <w:rsid w:val="008548FF"/>
    <w:rsid w:val="008549DA"/>
    <w:rsid w:val="0085556B"/>
    <w:rsid w:val="00856C4D"/>
    <w:rsid w:val="0085798E"/>
    <w:rsid w:val="00861B25"/>
    <w:rsid w:val="00861B90"/>
    <w:rsid w:val="00862FA5"/>
    <w:rsid w:val="00862FFC"/>
    <w:rsid w:val="008636AC"/>
    <w:rsid w:val="0086434A"/>
    <w:rsid w:val="008659E8"/>
    <w:rsid w:val="00871F45"/>
    <w:rsid w:val="0087418B"/>
    <w:rsid w:val="00874338"/>
    <w:rsid w:val="00874E2D"/>
    <w:rsid w:val="008754FB"/>
    <w:rsid w:val="008767A3"/>
    <w:rsid w:val="008771DC"/>
    <w:rsid w:val="008777E9"/>
    <w:rsid w:val="00877ECB"/>
    <w:rsid w:val="0088026C"/>
    <w:rsid w:val="0088049C"/>
    <w:rsid w:val="00881857"/>
    <w:rsid w:val="00882915"/>
    <w:rsid w:val="008830EC"/>
    <w:rsid w:val="00883801"/>
    <w:rsid w:val="00885770"/>
    <w:rsid w:val="00885BEC"/>
    <w:rsid w:val="00886A98"/>
    <w:rsid w:val="00886BFD"/>
    <w:rsid w:val="00893231"/>
    <w:rsid w:val="0089582D"/>
    <w:rsid w:val="00897C02"/>
    <w:rsid w:val="008A086D"/>
    <w:rsid w:val="008A174F"/>
    <w:rsid w:val="008A194B"/>
    <w:rsid w:val="008A1987"/>
    <w:rsid w:val="008A3E3A"/>
    <w:rsid w:val="008A4917"/>
    <w:rsid w:val="008A4F33"/>
    <w:rsid w:val="008A5876"/>
    <w:rsid w:val="008A6056"/>
    <w:rsid w:val="008A772C"/>
    <w:rsid w:val="008B0345"/>
    <w:rsid w:val="008B09D2"/>
    <w:rsid w:val="008B0B1B"/>
    <w:rsid w:val="008B12DE"/>
    <w:rsid w:val="008B1D43"/>
    <w:rsid w:val="008B1D44"/>
    <w:rsid w:val="008B38DC"/>
    <w:rsid w:val="008B5B7D"/>
    <w:rsid w:val="008B7567"/>
    <w:rsid w:val="008B7581"/>
    <w:rsid w:val="008C3D04"/>
    <w:rsid w:val="008C3EC3"/>
    <w:rsid w:val="008C5D7D"/>
    <w:rsid w:val="008C6DE7"/>
    <w:rsid w:val="008C7A05"/>
    <w:rsid w:val="008D1C09"/>
    <w:rsid w:val="008D295D"/>
    <w:rsid w:val="008D2D8D"/>
    <w:rsid w:val="008D3C27"/>
    <w:rsid w:val="008D498D"/>
    <w:rsid w:val="008D64AD"/>
    <w:rsid w:val="008D65CA"/>
    <w:rsid w:val="008D6999"/>
    <w:rsid w:val="008E0662"/>
    <w:rsid w:val="008E192D"/>
    <w:rsid w:val="008E40ED"/>
    <w:rsid w:val="008E43F6"/>
    <w:rsid w:val="008F0742"/>
    <w:rsid w:val="008F0AD8"/>
    <w:rsid w:val="008F3000"/>
    <w:rsid w:val="008F586D"/>
    <w:rsid w:val="008F6C2E"/>
    <w:rsid w:val="008F79EA"/>
    <w:rsid w:val="00900441"/>
    <w:rsid w:val="009006F9"/>
    <w:rsid w:val="0090458B"/>
    <w:rsid w:val="0090530B"/>
    <w:rsid w:val="009055BC"/>
    <w:rsid w:val="00906F05"/>
    <w:rsid w:val="0090785E"/>
    <w:rsid w:val="00912C12"/>
    <w:rsid w:val="00912D26"/>
    <w:rsid w:val="0091312B"/>
    <w:rsid w:val="00914749"/>
    <w:rsid w:val="00915048"/>
    <w:rsid w:val="00915C6D"/>
    <w:rsid w:val="009163A5"/>
    <w:rsid w:val="00922630"/>
    <w:rsid w:val="00922801"/>
    <w:rsid w:val="009229E8"/>
    <w:rsid w:val="00922F93"/>
    <w:rsid w:val="00924CF4"/>
    <w:rsid w:val="00924E35"/>
    <w:rsid w:val="00925428"/>
    <w:rsid w:val="009256C2"/>
    <w:rsid w:val="00926C6C"/>
    <w:rsid w:val="00926D2E"/>
    <w:rsid w:val="009328A0"/>
    <w:rsid w:val="00932AFE"/>
    <w:rsid w:val="00932F6E"/>
    <w:rsid w:val="00933C0E"/>
    <w:rsid w:val="00934231"/>
    <w:rsid w:val="00934615"/>
    <w:rsid w:val="00934ED0"/>
    <w:rsid w:val="0093521B"/>
    <w:rsid w:val="00935ADB"/>
    <w:rsid w:val="009371D8"/>
    <w:rsid w:val="00940856"/>
    <w:rsid w:val="00945A4A"/>
    <w:rsid w:val="00946916"/>
    <w:rsid w:val="009508E8"/>
    <w:rsid w:val="00950937"/>
    <w:rsid w:val="0095311A"/>
    <w:rsid w:val="009533F9"/>
    <w:rsid w:val="009539E0"/>
    <w:rsid w:val="00954BE2"/>
    <w:rsid w:val="00954D5F"/>
    <w:rsid w:val="00954E57"/>
    <w:rsid w:val="009556A2"/>
    <w:rsid w:val="00956381"/>
    <w:rsid w:val="00956D50"/>
    <w:rsid w:val="00956F89"/>
    <w:rsid w:val="00957423"/>
    <w:rsid w:val="00957794"/>
    <w:rsid w:val="00957FFA"/>
    <w:rsid w:val="009634B1"/>
    <w:rsid w:val="0096523A"/>
    <w:rsid w:val="009658B2"/>
    <w:rsid w:val="00966A98"/>
    <w:rsid w:val="00967C81"/>
    <w:rsid w:val="00967E52"/>
    <w:rsid w:val="00967EBE"/>
    <w:rsid w:val="0097121D"/>
    <w:rsid w:val="009748AD"/>
    <w:rsid w:val="00975A44"/>
    <w:rsid w:val="009769AD"/>
    <w:rsid w:val="00976B37"/>
    <w:rsid w:val="00977DD2"/>
    <w:rsid w:val="009802B3"/>
    <w:rsid w:val="009815FB"/>
    <w:rsid w:val="009843EC"/>
    <w:rsid w:val="00984624"/>
    <w:rsid w:val="00984942"/>
    <w:rsid w:val="00984D67"/>
    <w:rsid w:val="00985A8A"/>
    <w:rsid w:val="00986B5B"/>
    <w:rsid w:val="00987782"/>
    <w:rsid w:val="00987DED"/>
    <w:rsid w:val="00990861"/>
    <w:rsid w:val="0099153F"/>
    <w:rsid w:val="00991600"/>
    <w:rsid w:val="009929A2"/>
    <w:rsid w:val="00992CED"/>
    <w:rsid w:val="009962F6"/>
    <w:rsid w:val="00997E5B"/>
    <w:rsid w:val="009A04AE"/>
    <w:rsid w:val="009A0916"/>
    <w:rsid w:val="009A0CD3"/>
    <w:rsid w:val="009A12B0"/>
    <w:rsid w:val="009A3D77"/>
    <w:rsid w:val="009A613D"/>
    <w:rsid w:val="009A641E"/>
    <w:rsid w:val="009A6B7A"/>
    <w:rsid w:val="009B05EC"/>
    <w:rsid w:val="009B10FA"/>
    <w:rsid w:val="009B2C35"/>
    <w:rsid w:val="009B3738"/>
    <w:rsid w:val="009B7968"/>
    <w:rsid w:val="009C4B44"/>
    <w:rsid w:val="009C5476"/>
    <w:rsid w:val="009C6D4F"/>
    <w:rsid w:val="009C7299"/>
    <w:rsid w:val="009C76C9"/>
    <w:rsid w:val="009D0874"/>
    <w:rsid w:val="009D1702"/>
    <w:rsid w:val="009D19E5"/>
    <w:rsid w:val="009D1BEE"/>
    <w:rsid w:val="009D24AB"/>
    <w:rsid w:val="009D41E1"/>
    <w:rsid w:val="009D5639"/>
    <w:rsid w:val="009D7E40"/>
    <w:rsid w:val="009E4B6F"/>
    <w:rsid w:val="009E77BB"/>
    <w:rsid w:val="009E78A5"/>
    <w:rsid w:val="009F006C"/>
    <w:rsid w:val="009F1D1F"/>
    <w:rsid w:val="009F2038"/>
    <w:rsid w:val="009F2209"/>
    <w:rsid w:val="009F279A"/>
    <w:rsid w:val="009F2861"/>
    <w:rsid w:val="009F4640"/>
    <w:rsid w:val="009F644C"/>
    <w:rsid w:val="009F67F6"/>
    <w:rsid w:val="009F71A9"/>
    <w:rsid w:val="00A00637"/>
    <w:rsid w:val="00A0067B"/>
    <w:rsid w:val="00A0332D"/>
    <w:rsid w:val="00A04A45"/>
    <w:rsid w:val="00A128E4"/>
    <w:rsid w:val="00A12EDB"/>
    <w:rsid w:val="00A13706"/>
    <w:rsid w:val="00A14089"/>
    <w:rsid w:val="00A14839"/>
    <w:rsid w:val="00A148C8"/>
    <w:rsid w:val="00A149C5"/>
    <w:rsid w:val="00A14D4C"/>
    <w:rsid w:val="00A161C3"/>
    <w:rsid w:val="00A164BA"/>
    <w:rsid w:val="00A166F1"/>
    <w:rsid w:val="00A17B0A"/>
    <w:rsid w:val="00A17D67"/>
    <w:rsid w:val="00A24F48"/>
    <w:rsid w:val="00A24FE7"/>
    <w:rsid w:val="00A25449"/>
    <w:rsid w:val="00A25595"/>
    <w:rsid w:val="00A260A5"/>
    <w:rsid w:val="00A26D9B"/>
    <w:rsid w:val="00A26F77"/>
    <w:rsid w:val="00A27DE3"/>
    <w:rsid w:val="00A342FA"/>
    <w:rsid w:val="00A34775"/>
    <w:rsid w:val="00A37B51"/>
    <w:rsid w:val="00A42A57"/>
    <w:rsid w:val="00A42F9B"/>
    <w:rsid w:val="00A43103"/>
    <w:rsid w:val="00A43B33"/>
    <w:rsid w:val="00A44181"/>
    <w:rsid w:val="00A44307"/>
    <w:rsid w:val="00A45500"/>
    <w:rsid w:val="00A47474"/>
    <w:rsid w:val="00A50253"/>
    <w:rsid w:val="00A517FA"/>
    <w:rsid w:val="00A51F48"/>
    <w:rsid w:val="00A51FAE"/>
    <w:rsid w:val="00A544AA"/>
    <w:rsid w:val="00A55663"/>
    <w:rsid w:val="00A55A3B"/>
    <w:rsid w:val="00A6146E"/>
    <w:rsid w:val="00A61E8F"/>
    <w:rsid w:val="00A6727D"/>
    <w:rsid w:val="00A7083A"/>
    <w:rsid w:val="00A72A2B"/>
    <w:rsid w:val="00A72EB3"/>
    <w:rsid w:val="00A74EBB"/>
    <w:rsid w:val="00A75633"/>
    <w:rsid w:val="00A8075D"/>
    <w:rsid w:val="00A81569"/>
    <w:rsid w:val="00A85813"/>
    <w:rsid w:val="00A901A3"/>
    <w:rsid w:val="00A924CE"/>
    <w:rsid w:val="00A924FD"/>
    <w:rsid w:val="00A9419C"/>
    <w:rsid w:val="00A947A2"/>
    <w:rsid w:val="00AA043F"/>
    <w:rsid w:val="00AA17B3"/>
    <w:rsid w:val="00AA24C3"/>
    <w:rsid w:val="00AA2E68"/>
    <w:rsid w:val="00AA392D"/>
    <w:rsid w:val="00AA5E10"/>
    <w:rsid w:val="00AA727E"/>
    <w:rsid w:val="00AB03DD"/>
    <w:rsid w:val="00AB07F6"/>
    <w:rsid w:val="00AB1151"/>
    <w:rsid w:val="00AB1903"/>
    <w:rsid w:val="00AB2127"/>
    <w:rsid w:val="00AB4270"/>
    <w:rsid w:val="00AB469C"/>
    <w:rsid w:val="00AB5559"/>
    <w:rsid w:val="00AB66E5"/>
    <w:rsid w:val="00AC0D25"/>
    <w:rsid w:val="00AC1180"/>
    <w:rsid w:val="00AC4077"/>
    <w:rsid w:val="00AC4220"/>
    <w:rsid w:val="00AC5313"/>
    <w:rsid w:val="00AC5CFD"/>
    <w:rsid w:val="00AC78F9"/>
    <w:rsid w:val="00AC7D3E"/>
    <w:rsid w:val="00AD07D1"/>
    <w:rsid w:val="00AD0C1D"/>
    <w:rsid w:val="00AD2C6B"/>
    <w:rsid w:val="00AD3219"/>
    <w:rsid w:val="00AD4DA2"/>
    <w:rsid w:val="00AD6B63"/>
    <w:rsid w:val="00AD7024"/>
    <w:rsid w:val="00AD70CD"/>
    <w:rsid w:val="00AE04D2"/>
    <w:rsid w:val="00AE057F"/>
    <w:rsid w:val="00AE28AD"/>
    <w:rsid w:val="00AE4580"/>
    <w:rsid w:val="00AE4627"/>
    <w:rsid w:val="00AE462A"/>
    <w:rsid w:val="00AE7832"/>
    <w:rsid w:val="00AF07B0"/>
    <w:rsid w:val="00AF2470"/>
    <w:rsid w:val="00AF26FA"/>
    <w:rsid w:val="00AF320E"/>
    <w:rsid w:val="00B001DB"/>
    <w:rsid w:val="00B0064A"/>
    <w:rsid w:val="00B01410"/>
    <w:rsid w:val="00B016B1"/>
    <w:rsid w:val="00B038DD"/>
    <w:rsid w:val="00B039A6"/>
    <w:rsid w:val="00B04B89"/>
    <w:rsid w:val="00B05043"/>
    <w:rsid w:val="00B0559E"/>
    <w:rsid w:val="00B06534"/>
    <w:rsid w:val="00B10931"/>
    <w:rsid w:val="00B112C9"/>
    <w:rsid w:val="00B1210E"/>
    <w:rsid w:val="00B12215"/>
    <w:rsid w:val="00B14059"/>
    <w:rsid w:val="00B143D9"/>
    <w:rsid w:val="00B15D87"/>
    <w:rsid w:val="00B1619F"/>
    <w:rsid w:val="00B17566"/>
    <w:rsid w:val="00B1792F"/>
    <w:rsid w:val="00B2100C"/>
    <w:rsid w:val="00B211F4"/>
    <w:rsid w:val="00B2393A"/>
    <w:rsid w:val="00B23B71"/>
    <w:rsid w:val="00B251AE"/>
    <w:rsid w:val="00B256A6"/>
    <w:rsid w:val="00B2660B"/>
    <w:rsid w:val="00B275E4"/>
    <w:rsid w:val="00B3080F"/>
    <w:rsid w:val="00B31D7C"/>
    <w:rsid w:val="00B34024"/>
    <w:rsid w:val="00B34F48"/>
    <w:rsid w:val="00B362F6"/>
    <w:rsid w:val="00B36493"/>
    <w:rsid w:val="00B4059F"/>
    <w:rsid w:val="00B4158D"/>
    <w:rsid w:val="00B44AB1"/>
    <w:rsid w:val="00B47D7F"/>
    <w:rsid w:val="00B50985"/>
    <w:rsid w:val="00B50FAA"/>
    <w:rsid w:val="00B51CEC"/>
    <w:rsid w:val="00B54C5D"/>
    <w:rsid w:val="00B565C2"/>
    <w:rsid w:val="00B56D05"/>
    <w:rsid w:val="00B60E9F"/>
    <w:rsid w:val="00B60F3B"/>
    <w:rsid w:val="00B61DEB"/>
    <w:rsid w:val="00B620EA"/>
    <w:rsid w:val="00B633B1"/>
    <w:rsid w:val="00B63678"/>
    <w:rsid w:val="00B645EC"/>
    <w:rsid w:val="00B64DA1"/>
    <w:rsid w:val="00B64FD7"/>
    <w:rsid w:val="00B658E2"/>
    <w:rsid w:val="00B7456B"/>
    <w:rsid w:val="00B766D5"/>
    <w:rsid w:val="00B80969"/>
    <w:rsid w:val="00B80F66"/>
    <w:rsid w:val="00B80F89"/>
    <w:rsid w:val="00B8236B"/>
    <w:rsid w:val="00B838F8"/>
    <w:rsid w:val="00B84605"/>
    <w:rsid w:val="00B87097"/>
    <w:rsid w:val="00B9028A"/>
    <w:rsid w:val="00B90696"/>
    <w:rsid w:val="00B92C13"/>
    <w:rsid w:val="00B945C1"/>
    <w:rsid w:val="00B96B00"/>
    <w:rsid w:val="00BA07D4"/>
    <w:rsid w:val="00BA0A8E"/>
    <w:rsid w:val="00BA168C"/>
    <w:rsid w:val="00BA19E4"/>
    <w:rsid w:val="00BA2D46"/>
    <w:rsid w:val="00BA400F"/>
    <w:rsid w:val="00BA41E5"/>
    <w:rsid w:val="00BA5D64"/>
    <w:rsid w:val="00BA7BCE"/>
    <w:rsid w:val="00BB6AA4"/>
    <w:rsid w:val="00BB747D"/>
    <w:rsid w:val="00BC197D"/>
    <w:rsid w:val="00BC4FB4"/>
    <w:rsid w:val="00BC7690"/>
    <w:rsid w:val="00BD0578"/>
    <w:rsid w:val="00BD265C"/>
    <w:rsid w:val="00BD39A0"/>
    <w:rsid w:val="00BD5B1D"/>
    <w:rsid w:val="00BD6112"/>
    <w:rsid w:val="00BD6531"/>
    <w:rsid w:val="00BE0A6E"/>
    <w:rsid w:val="00BE3B59"/>
    <w:rsid w:val="00BE56C0"/>
    <w:rsid w:val="00BE5C35"/>
    <w:rsid w:val="00BE6B6B"/>
    <w:rsid w:val="00BF0293"/>
    <w:rsid w:val="00BF182C"/>
    <w:rsid w:val="00BF3B6D"/>
    <w:rsid w:val="00BF4201"/>
    <w:rsid w:val="00BF449D"/>
    <w:rsid w:val="00BF4D86"/>
    <w:rsid w:val="00BF54B5"/>
    <w:rsid w:val="00BF63E8"/>
    <w:rsid w:val="00BF7C15"/>
    <w:rsid w:val="00BF7EBE"/>
    <w:rsid w:val="00C04855"/>
    <w:rsid w:val="00C12406"/>
    <w:rsid w:val="00C13B2F"/>
    <w:rsid w:val="00C151BB"/>
    <w:rsid w:val="00C153CD"/>
    <w:rsid w:val="00C160C9"/>
    <w:rsid w:val="00C161E0"/>
    <w:rsid w:val="00C167E8"/>
    <w:rsid w:val="00C17191"/>
    <w:rsid w:val="00C17496"/>
    <w:rsid w:val="00C2100E"/>
    <w:rsid w:val="00C22B91"/>
    <w:rsid w:val="00C22C69"/>
    <w:rsid w:val="00C234CE"/>
    <w:rsid w:val="00C25332"/>
    <w:rsid w:val="00C25E5C"/>
    <w:rsid w:val="00C26D58"/>
    <w:rsid w:val="00C2749E"/>
    <w:rsid w:val="00C277F9"/>
    <w:rsid w:val="00C32DE5"/>
    <w:rsid w:val="00C338B4"/>
    <w:rsid w:val="00C34174"/>
    <w:rsid w:val="00C3685E"/>
    <w:rsid w:val="00C36BD1"/>
    <w:rsid w:val="00C3781B"/>
    <w:rsid w:val="00C37A57"/>
    <w:rsid w:val="00C405B2"/>
    <w:rsid w:val="00C409E9"/>
    <w:rsid w:val="00C43BEC"/>
    <w:rsid w:val="00C43C8A"/>
    <w:rsid w:val="00C43E8C"/>
    <w:rsid w:val="00C469DC"/>
    <w:rsid w:val="00C47659"/>
    <w:rsid w:val="00C50785"/>
    <w:rsid w:val="00C52B4C"/>
    <w:rsid w:val="00C53C80"/>
    <w:rsid w:val="00C5617B"/>
    <w:rsid w:val="00C6203C"/>
    <w:rsid w:val="00C62111"/>
    <w:rsid w:val="00C622E3"/>
    <w:rsid w:val="00C627BE"/>
    <w:rsid w:val="00C62FED"/>
    <w:rsid w:val="00C67951"/>
    <w:rsid w:val="00C67AE1"/>
    <w:rsid w:val="00C72873"/>
    <w:rsid w:val="00C7312B"/>
    <w:rsid w:val="00C76914"/>
    <w:rsid w:val="00C76D82"/>
    <w:rsid w:val="00C82558"/>
    <w:rsid w:val="00C838F2"/>
    <w:rsid w:val="00C84FEB"/>
    <w:rsid w:val="00C863EB"/>
    <w:rsid w:val="00C87C88"/>
    <w:rsid w:val="00C921EC"/>
    <w:rsid w:val="00C93398"/>
    <w:rsid w:val="00C939CE"/>
    <w:rsid w:val="00C95A41"/>
    <w:rsid w:val="00C964AD"/>
    <w:rsid w:val="00CA090A"/>
    <w:rsid w:val="00CA285A"/>
    <w:rsid w:val="00CA28B9"/>
    <w:rsid w:val="00CA2CB3"/>
    <w:rsid w:val="00CA2E36"/>
    <w:rsid w:val="00CA3C63"/>
    <w:rsid w:val="00CA6333"/>
    <w:rsid w:val="00CA68E7"/>
    <w:rsid w:val="00CB3A6A"/>
    <w:rsid w:val="00CB3F6E"/>
    <w:rsid w:val="00CB4221"/>
    <w:rsid w:val="00CB47AE"/>
    <w:rsid w:val="00CB5827"/>
    <w:rsid w:val="00CB61C8"/>
    <w:rsid w:val="00CB6AF2"/>
    <w:rsid w:val="00CB6DC7"/>
    <w:rsid w:val="00CB6F1C"/>
    <w:rsid w:val="00CC1EA4"/>
    <w:rsid w:val="00CC23BF"/>
    <w:rsid w:val="00CC3244"/>
    <w:rsid w:val="00CC335B"/>
    <w:rsid w:val="00CC3D64"/>
    <w:rsid w:val="00CC502C"/>
    <w:rsid w:val="00CD10BF"/>
    <w:rsid w:val="00CD1BE1"/>
    <w:rsid w:val="00CD1F91"/>
    <w:rsid w:val="00CD2158"/>
    <w:rsid w:val="00CD2430"/>
    <w:rsid w:val="00CD6F0A"/>
    <w:rsid w:val="00CE085D"/>
    <w:rsid w:val="00CE1650"/>
    <w:rsid w:val="00CE16BD"/>
    <w:rsid w:val="00CE1718"/>
    <w:rsid w:val="00CE5B2F"/>
    <w:rsid w:val="00CE60FD"/>
    <w:rsid w:val="00CE6D74"/>
    <w:rsid w:val="00CE7B34"/>
    <w:rsid w:val="00CF05C2"/>
    <w:rsid w:val="00CF1635"/>
    <w:rsid w:val="00CF23DE"/>
    <w:rsid w:val="00CF3CBB"/>
    <w:rsid w:val="00CF65F0"/>
    <w:rsid w:val="00D005BE"/>
    <w:rsid w:val="00D02ACB"/>
    <w:rsid w:val="00D03124"/>
    <w:rsid w:val="00D0428F"/>
    <w:rsid w:val="00D045F6"/>
    <w:rsid w:val="00D053EF"/>
    <w:rsid w:val="00D05D8D"/>
    <w:rsid w:val="00D063D9"/>
    <w:rsid w:val="00D071CF"/>
    <w:rsid w:val="00D0739B"/>
    <w:rsid w:val="00D0753C"/>
    <w:rsid w:val="00D07EB5"/>
    <w:rsid w:val="00D10D82"/>
    <w:rsid w:val="00D11319"/>
    <w:rsid w:val="00D11C32"/>
    <w:rsid w:val="00D13AC3"/>
    <w:rsid w:val="00D13CB9"/>
    <w:rsid w:val="00D144FD"/>
    <w:rsid w:val="00D20358"/>
    <w:rsid w:val="00D22869"/>
    <w:rsid w:val="00D23709"/>
    <w:rsid w:val="00D25C14"/>
    <w:rsid w:val="00D27E7C"/>
    <w:rsid w:val="00D307BC"/>
    <w:rsid w:val="00D3190B"/>
    <w:rsid w:val="00D31F47"/>
    <w:rsid w:val="00D31FF6"/>
    <w:rsid w:val="00D32757"/>
    <w:rsid w:val="00D32ED0"/>
    <w:rsid w:val="00D34131"/>
    <w:rsid w:val="00D35266"/>
    <w:rsid w:val="00D35331"/>
    <w:rsid w:val="00D3533A"/>
    <w:rsid w:val="00D3567B"/>
    <w:rsid w:val="00D36F31"/>
    <w:rsid w:val="00D37241"/>
    <w:rsid w:val="00D372BC"/>
    <w:rsid w:val="00D402D5"/>
    <w:rsid w:val="00D42E5D"/>
    <w:rsid w:val="00D4435E"/>
    <w:rsid w:val="00D44F57"/>
    <w:rsid w:val="00D527E6"/>
    <w:rsid w:val="00D5447D"/>
    <w:rsid w:val="00D554DC"/>
    <w:rsid w:val="00D571A1"/>
    <w:rsid w:val="00D616F3"/>
    <w:rsid w:val="00D617ED"/>
    <w:rsid w:val="00D61A92"/>
    <w:rsid w:val="00D631A6"/>
    <w:rsid w:val="00D63D81"/>
    <w:rsid w:val="00D701C2"/>
    <w:rsid w:val="00D70F67"/>
    <w:rsid w:val="00D71B85"/>
    <w:rsid w:val="00D71D54"/>
    <w:rsid w:val="00D73EFE"/>
    <w:rsid w:val="00D746C9"/>
    <w:rsid w:val="00D77647"/>
    <w:rsid w:val="00D81A40"/>
    <w:rsid w:val="00D828A8"/>
    <w:rsid w:val="00D852F2"/>
    <w:rsid w:val="00D8530C"/>
    <w:rsid w:val="00D87904"/>
    <w:rsid w:val="00D87B5D"/>
    <w:rsid w:val="00D915C1"/>
    <w:rsid w:val="00D93F68"/>
    <w:rsid w:val="00D95207"/>
    <w:rsid w:val="00D96520"/>
    <w:rsid w:val="00D97166"/>
    <w:rsid w:val="00DA7180"/>
    <w:rsid w:val="00DB1D26"/>
    <w:rsid w:val="00DB1FEF"/>
    <w:rsid w:val="00DB2AB8"/>
    <w:rsid w:val="00DB2DB5"/>
    <w:rsid w:val="00DB4570"/>
    <w:rsid w:val="00DB698B"/>
    <w:rsid w:val="00DB69C4"/>
    <w:rsid w:val="00DB6D60"/>
    <w:rsid w:val="00DB713C"/>
    <w:rsid w:val="00DB7359"/>
    <w:rsid w:val="00DC07F9"/>
    <w:rsid w:val="00DC0C4D"/>
    <w:rsid w:val="00DC2007"/>
    <w:rsid w:val="00DC354F"/>
    <w:rsid w:val="00DC4A6A"/>
    <w:rsid w:val="00DC4EFD"/>
    <w:rsid w:val="00DC6E63"/>
    <w:rsid w:val="00DD02AB"/>
    <w:rsid w:val="00DD091A"/>
    <w:rsid w:val="00DD1A2E"/>
    <w:rsid w:val="00DD2B4C"/>
    <w:rsid w:val="00DD3055"/>
    <w:rsid w:val="00DD3068"/>
    <w:rsid w:val="00DD366F"/>
    <w:rsid w:val="00DD3EEB"/>
    <w:rsid w:val="00DD40E9"/>
    <w:rsid w:val="00DD4797"/>
    <w:rsid w:val="00DD7B2D"/>
    <w:rsid w:val="00DE0D5E"/>
    <w:rsid w:val="00DE25FA"/>
    <w:rsid w:val="00DE334A"/>
    <w:rsid w:val="00DE3405"/>
    <w:rsid w:val="00DE38EC"/>
    <w:rsid w:val="00DE39A4"/>
    <w:rsid w:val="00DE41BC"/>
    <w:rsid w:val="00DE57B7"/>
    <w:rsid w:val="00DE7277"/>
    <w:rsid w:val="00DE7494"/>
    <w:rsid w:val="00DE7966"/>
    <w:rsid w:val="00DF0FA1"/>
    <w:rsid w:val="00DF151A"/>
    <w:rsid w:val="00DF18D2"/>
    <w:rsid w:val="00DF1E92"/>
    <w:rsid w:val="00DF3E91"/>
    <w:rsid w:val="00DF44E0"/>
    <w:rsid w:val="00DF62B9"/>
    <w:rsid w:val="00DF6EEE"/>
    <w:rsid w:val="00DF790E"/>
    <w:rsid w:val="00E00A34"/>
    <w:rsid w:val="00E01A47"/>
    <w:rsid w:val="00E03536"/>
    <w:rsid w:val="00E03BAB"/>
    <w:rsid w:val="00E04E58"/>
    <w:rsid w:val="00E0558C"/>
    <w:rsid w:val="00E075CE"/>
    <w:rsid w:val="00E14BEE"/>
    <w:rsid w:val="00E16E99"/>
    <w:rsid w:val="00E17410"/>
    <w:rsid w:val="00E21E50"/>
    <w:rsid w:val="00E220DA"/>
    <w:rsid w:val="00E249B8"/>
    <w:rsid w:val="00E25142"/>
    <w:rsid w:val="00E26000"/>
    <w:rsid w:val="00E266CB"/>
    <w:rsid w:val="00E26C4D"/>
    <w:rsid w:val="00E2710C"/>
    <w:rsid w:val="00E27155"/>
    <w:rsid w:val="00E2746A"/>
    <w:rsid w:val="00E27669"/>
    <w:rsid w:val="00E27B40"/>
    <w:rsid w:val="00E302B6"/>
    <w:rsid w:val="00E3103B"/>
    <w:rsid w:val="00E31BC0"/>
    <w:rsid w:val="00E350E8"/>
    <w:rsid w:val="00E42999"/>
    <w:rsid w:val="00E43929"/>
    <w:rsid w:val="00E43EE0"/>
    <w:rsid w:val="00E472AA"/>
    <w:rsid w:val="00E47BB8"/>
    <w:rsid w:val="00E47FA7"/>
    <w:rsid w:val="00E52226"/>
    <w:rsid w:val="00E52D31"/>
    <w:rsid w:val="00E56AE6"/>
    <w:rsid w:val="00E615F4"/>
    <w:rsid w:val="00E61909"/>
    <w:rsid w:val="00E61D6F"/>
    <w:rsid w:val="00E64392"/>
    <w:rsid w:val="00E648AC"/>
    <w:rsid w:val="00E6491B"/>
    <w:rsid w:val="00E65671"/>
    <w:rsid w:val="00E669AE"/>
    <w:rsid w:val="00E66DFE"/>
    <w:rsid w:val="00E67138"/>
    <w:rsid w:val="00E671CA"/>
    <w:rsid w:val="00E679D4"/>
    <w:rsid w:val="00E67AD5"/>
    <w:rsid w:val="00E7044D"/>
    <w:rsid w:val="00E7158D"/>
    <w:rsid w:val="00E7374F"/>
    <w:rsid w:val="00E740E1"/>
    <w:rsid w:val="00E75931"/>
    <w:rsid w:val="00E76B6B"/>
    <w:rsid w:val="00E76E9F"/>
    <w:rsid w:val="00E76FC5"/>
    <w:rsid w:val="00E77CFC"/>
    <w:rsid w:val="00E815B6"/>
    <w:rsid w:val="00E82974"/>
    <w:rsid w:val="00E82A88"/>
    <w:rsid w:val="00E82F1F"/>
    <w:rsid w:val="00E83174"/>
    <w:rsid w:val="00E839CA"/>
    <w:rsid w:val="00E83D98"/>
    <w:rsid w:val="00E83E2B"/>
    <w:rsid w:val="00E83F9E"/>
    <w:rsid w:val="00E85D02"/>
    <w:rsid w:val="00E8642E"/>
    <w:rsid w:val="00E86526"/>
    <w:rsid w:val="00E86BC7"/>
    <w:rsid w:val="00E86FDA"/>
    <w:rsid w:val="00E87273"/>
    <w:rsid w:val="00E90B26"/>
    <w:rsid w:val="00E90CDC"/>
    <w:rsid w:val="00E90E13"/>
    <w:rsid w:val="00E92FB8"/>
    <w:rsid w:val="00E93A4E"/>
    <w:rsid w:val="00E944EF"/>
    <w:rsid w:val="00E95D9F"/>
    <w:rsid w:val="00E96AEB"/>
    <w:rsid w:val="00E9701B"/>
    <w:rsid w:val="00EA02AD"/>
    <w:rsid w:val="00EA0E64"/>
    <w:rsid w:val="00EA18CF"/>
    <w:rsid w:val="00EA3C0E"/>
    <w:rsid w:val="00EA6661"/>
    <w:rsid w:val="00EA6FB6"/>
    <w:rsid w:val="00EB1E06"/>
    <w:rsid w:val="00EB28A1"/>
    <w:rsid w:val="00EB32BB"/>
    <w:rsid w:val="00EB5723"/>
    <w:rsid w:val="00EB782E"/>
    <w:rsid w:val="00EC45A9"/>
    <w:rsid w:val="00EC66BC"/>
    <w:rsid w:val="00EC68ED"/>
    <w:rsid w:val="00ED018A"/>
    <w:rsid w:val="00ED03CE"/>
    <w:rsid w:val="00ED14CD"/>
    <w:rsid w:val="00ED20A7"/>
    <w:rsid w:val="00ED4536"/>
    <w:rsid w:val="00ED53EB"/>
    <w:rsid w:val="00ED5E11"/>
    <w:rsid w:val="00EE1329"/>
    <w:rsid w:val="00EE59E9"/>
    <w:rsid w:val="00EE5F1B"/>
    <w:rsid w:val="00EE6578"/>
    <w:rsid w:val="00EF1CF7"/>
    <w:rsid w:val="00EF2D31"/>
    <w:rsid w:val="00EF2E36"/>
    <w:rsid w:val="00EF520D"/>
    <w:rsid w:val="00EF5F6B"/>
    <w:rsid w:val="00EF60BA"/>
    <w:rsid w:val="00EF7883"/>
    <w:rsid w:val="00F01AD5"/>
    <w:rsid w:val="00F03DE6"/>
    <w:rsid w:val="00F05B18"/>
    <w:rsid w:val="00F10823"/>
    <w:rsid w:val="00F1104B"/>
    <w:rsid w:val="00F1114B"/>
    <w:rsid w:val="00F13822"/>
    <w:rsid w:val="00F15824"/>
    <w:rsid w:val="00F15BCE"/>
    <w:rsid w:val="00F1791F"/>
    <w:rsid w:val="00F204BA"/>
    <w:rsid w:val="00F20830"/>
    <w:rsid w:val="00F20B80"/>
    <w:rsid w:val="00F20C61"/>
    <w:rsid w:val="00F21DAD"/>
    <w:rsid w:val="00F22E9C"/>
    <w:rsid w:val="00F23BAC"/>
    <w:rsid w:val="00F24D60"/>
    <w:rsid w:val="00F277C5"/>
    <w:rsid w:val="00F279C6"/>
    <w:rsid w:val="00F309B6"/>
    <w:rsid w:val="00F31BAD"/>
    <w:rsid w:val="00F31EB8"/>
    <w:rsid w:val="00F327FA"/>
    <w:rsid w:val="00F34149"/>
    <w:rsid w:val="00F341E1"/>
    <w:rsid w:val="00F3568E"/>
    <w:rsid w:val="00F36521"/>
    <w:rsid w:val="00F36BCE"/>
    <w:rsid w:val="00F37745"/>
    <w:rsid w:val="00F4050E"/>
    <w:rsid w:val="00F435CC"/>
    <w:rsid w:val="00F43B61"/>
    <w:rsid w:val="00F44905"/>
    <w:rsid w:val="00F4512D"/>
    <w:rsid w:val="00F501C5"/>
    <w:rsid w:val="00F50947"/>
    <w:rsid w:val="00F51A98"/>
    <w:rsid w:val="00F527E2"/>
    <w:rsid w:val="00F5313A"/>
    <w:rsid w:val="00F53703"/>
    <w:rsid w:val="00F5379E"/>
    <w:rsid w:val="00F549F5"/>
    <w:rsid w:val="00F550DF"/>
    <w:rsid w:val="00F559CB"/>
    <w:rsid w:val="00F55E9B"/>
    <w:rsid w:val="00F56524"/>
    <w:rsid w:val="00F576DD"/>
    <w:rsid w:val="00F57BCF"/>
    <w:rsid w:val="00F632A0"/>
    <w:rsid w:val="00F6392B"/>
    <w:rsid w:val="00F64EF2"/>
    <w:rsid w:val="00F64FE1"/>
    <w:rsid w:val="00F65275"/>
    <w:rsid w:val="00F66495"/>
    <w:rsid w:val="00F7091D"/>
    <w:rsid w:val="00F7144D"/>
    <w:rsid w:val="00F736B4"/>
    <w:rsid w:val="00F7381A"/>
    <w:rsid w:val="00F73FD5"/>
    <w:rsid w:val="00F7524A"/>
    <w:rsid w:val="00F755DE"/>
    <w:rsid w:val="00F81952"/>
    <w:rsid w:val="00F855B4"/>
    <w:rsid w:val="00F87692"/>
    <w:rsid w:val="00F9162E"/>
    <w:rsid w:val="00F91BCF"/>
    <w:rsid w:val="00F91D09"/>
    <w:rsid w:val="00F92375"/>
    <w:rsid w:val="00F9636A"/>
    <w:rsid w:val="00F9675C"/>
    <w:rsid w:val="00F979C9"/>
    <w:rsid w:val="00F97F5A"/>
    <w:rsid w:val="00FA0742"/>
    <w:rsid w:val="00FA0E28"/>
    <w:rsid w:val="00FA1577"/>
    <w:rsid w:val="00FA1B7D"/>
    <w:rsid w:val="00FA4482"/>
    <w:rsid w:val="00FA63B5"/>
    <w:rsid w:val="00FA684C"/>
    <w:rsid w:val="00FB21A4"/>
    <w:rsid w:val="00FB30AD"/>
    <w:rsid w:val="00FB30B3"/>
    <w:rsid w:val="00FB3800"/>
    <w:rsid w:val="00FB66E9"/>
    <w:rsid w:val="00FB7ECE"/>
    <w:rsid w:val="00FC03BF"/>
    <w:rsid w:val="00FC1112"/>
    <w:rsid w:val="00FC1A28"/>
    <w:rsid w:val="00FC2F86"/>
    <w:rsid w:val="00FC3AFC"/>
    <w:rsid w:val="00FC6B26"/>
    <w:rsid w:val="00FD077E"/>
    <w:rsid w:val="00FD08A1"/>
    <w:rsid w:val="00FD27BF"/>
    <w:rsid w:val="00FD4811"/>
    <w:rsid w:val="00FE11D0"/>
    <w:rsid w:val="00FE1A2B"/>
    <w:rsid w:val="00FE1D39"/>
    <w:rsid w:val="00FE1E71"/>
    <w:rsid w:val="00FE228D"/>
    <w:rsid w:val="00FE458F"/>
    <w:rsid w:val="00FE596B"/>
    <w:rsid w:val="00FE6539"/>
    <w:rsid w:val="00FE6806"/>
    <w:rsid w:val="00FE7505"/>
    <w:rsid w:val="00FE7B89"/>
    <w:rsid w:val="00FE7BF5"/>
    <w:rsid w:val="00FF009E"/>
    <w:rsid w:val="00FF1FB7"/>
    <w:rsid w:val="00FF33CB"/>
    <w:rsid w:val="00FF4228"/>
    <w:rsid w:val="00FF4907"/>
    <w:rsid w:val="00FF6B46"/>
    <w:rsid w:val="00FF6E85"/>
    <w:rsid w:val="00FF75A7"/>
    <w:rsid w:val="559B76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uiPriority w:val="0"/>
    <w:rPr>
      <w:color w:val="0000FF"/>
      <w:u w:val="single"/>
    </w:rPr>
  </w:style>
  <w:style w:type="paragraph" w:customStyle="1" w:styleId="9">
    <w:name w:val="Char Char4 Char"/>
    <w:basedOn w:val="1"/>
    <w:uiPriority w:val="0"/>
    <w:pPr>
      <w:widowControl/>
      <w:spacing w:after="160" w:line="240" w:lineRule="exact"/>
      <w:jc w:val="left"/>
    </w:pPr>
  </w:style>
  <w:style w:type="paragraph" w:customStyle="1" w:styleId="10">
    <w:name w:val="宋体"/>
    <w:basedOn w:val="1"/>
    <w:uiPriority w:val="0"/>
    <w:rPr>
      <w:rFonts w:ascii="仿宋_GB2312" w:eastAsia="仿宋_GB2312"/>
      <w:sz w:val="32"/>
      <w:szCs w:val="32"/>
    </w:rPr>
  </w:style>
  <w:style w:type="character" w:customStyle="1" w:styleId="11">
    <w:name w:val="apple-style-span"/>
    <w:uiPriority w:val="0"/>
  </w:style>
  <w:style w:type="paragraph" w:customStyle="1" w:styleId="12">
    <w:name w:val="Char Char Char Char"/>
    <w:basedOn w:val="1"/>
    <w:uiPriority w:val="0"/>
    <w:rPr>
      <w:rFonts w:ascii="仿宋_GB2312" w:eastAsia="仿宋_GB2312"/>
      <w:b/>
      <w:sz w:val="30"/>
      <w:szCs w:val="32"/>
    </w:rPr>
  </w:style>
  <w:style w:type="paragraph" w:customStyle="1" w:styleId="13">
    <w:name w:val="Char"/>
    <w:basedOn w:val="1"/>
    <w:uiPriority w:val="0"/>
    <w:pPr>
      <w:spacing w:line="360" w:lineRule="auto"/>
      <w:ind w:firstLine="200" w:firstLineChars="200"/>
    </w:pPr>
    <w:rPr>
      <w:rFonts w:eastAsia="仿宋_GB2312"/>
      <w:sz w:val="24"/>
    </w:rPr>
  </w:style>
  <w:style w:type="paragraph" w:customStyle="1" w:styleId="14">
    <w:name w:val="Char Char Char Char Char Char Char Char Char Char Char Char Char Char Char Char"/>
    <w:basedOn w:val="1"/>
    <w:uiPriority w:val="0"/>
  </w:style>
  <w:style w:type="paragraph" w:customStyle="1" w:styleId="15">
    <w:name w:val="Char Char1 Char Char Char Char"/>
    <w:basedOn w:val="1"/>
    <w:semiHidden/>
    <w:uiPriority w:val="0"/>
  </w:style>
  <w:style w:type="paragraph" w:customStyle="1" w:styleId="16">
    <w:name w:val=" Char"/>
    <w:basedOn w:val="2"/>
    <w:uiPriority w:val="0"/>
    <w:pPr>
      <w:snapToGrid w:val="0"/>
      <w:spacing w:before="240" w:after="240" w:line="348" w:lineRule="auto"/>
    </w:pPr>
    <w:rPr>
      <w:rFonts w:ascii="瀹嬩綋" w:hAnsi="瀹嬩綋" w:eastAsia="仿宋_GB2312"/>
      <w:color w:val="20150F"/>
    </w:rPr>
  </w:style>
  <w:style w:type="paragraph" w:customStyle="1" w:styleId="17">
    <w:name w:val=" Char Char Char Char Char Char Char Char Char Char Char Char Char Char Char Char Char Char Char Char Char Char Char Char Char Char Char Char Char Char Char Char Char Char Char Char Char Char Char Char Char Char Char Char Char Char Char Char Char"/>
    <w:basedOn w:val="1"/>
    <w:uiPriority w:val="0"/>
    <w:pPr>
      <w:spacing w:line="360" w:lineRule="auto"/>
      <w:ind w:firstLine="200" w:firstLineChars="200"/>
    </w:pPr>
    <w:rPr>
      <w:rFonts w:eastAsia="仿宋_GB2312"/>
      <w:sz w:val="24"/>
    </w:rPr>
  </w:style>
  <w:style w:type="paragraph" w:customStyle="1" w:styleId="18">
    <w:name w:val=" Char Char1 Char Char Char Char"/>
    <w:basedOn w:val="1"/>
    <w:semiHidden/>
    <w:uiPriority w:val="0"/>
  </w:style>
  <w:style w:type="character" w:customStyle="1" w:styleId="1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dell</Company>
  <Pages>18</Pages>
  <Words>1386</Words>
  <Characters>7904</Characters>
  <Lines>65</Lines>
  <Paragraphs>18</Paragraphs>
  <TotalTime>1</TotalTime>
  <ScaleCrop>false</ScaleCrop>
  <LinksUpToDate>false</LinksUpToDate>
  <CharactersWithSpaces>9272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2016-04-14T03:40:00Z</dcterms:created>
  <dc:creator>jctj3</dc:creator>
  <cp:lastModifiedBy>Administrator</cp:lastModifiedBy>
  <cp:lastPrinted>2016-04-14T04:18:00Z</cp:lastPrinted>
  <dcterms:modified xsi:type="dcterms:W3CDTF">2022-10-08T02:11:51Z</dcterms:modified>
  <dc:title>中华人民共和国文化部</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EFE4D308D1374AEBA6D71F1900B9AE1B</vt:lpwstr>
  </property>
</Properties>
</file>