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127A2">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14:paraId="5B9219E9">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437FEDEC">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58E09926">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016DD317">
      <w:pPr>
        <w:keepNext w:val="0"/>
        <w:keepLines w:val="0"/>
        <w:pageBreakBefore w:val="0"/>
        <w:widowControl w:val="0"/>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color w:val="auto"/>
          <w:sz w:val="32"/>
          <w:szCs w:val="32"/>
          <w:lang w:val="en-US" w:eastAsia="zh-CN"/>
        </w:rPr>
      </w:pPr>
    </w:p>
    <w:p w14:paraId="3D25F386">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9"/>
        <w:rPr>
          <w:rFonts w:hint="eastAsia" w:ascii="仿宋_GB2312" w:hAnsi="仿宋_GB2312" w:eastAsia="仿宋_GB2312" w:cs="仿宋_GB2312"/>
          <w:color w:val="auto"/>
          <w:sz w:val="32"/>
          <w:szCs w:val="32"/>
          <w:lang w:val="en-US" w:eastAsia="zh-CN"/>
        </w:rPr>
      </w:pPr>
      <w:bookmarkStart w:id="0" w:name="OLE_LINK1"/>
      <w:r>
        <w:rPr>
          <w:rFonts w:hint="eastAsia" w:ascii="仿宋_GB2312" w:hAnsi="仿宋_GB2312" w:eastAsia="仿宋_GB2312" w:cs="仿宋_GB2312"/>
          <w:color w:val="auto"/>
          <w:sz w:val="32"/>
          <w:szCs w:val="32"/>
          <w:lang w:val="en-US" w:eastAsia="zh-CN"/>
        </w:rPr>
        <w:t>吉文旅审〔2026〕466号</w:t>
      </w:r>
    </w:p>
    <w:p w14:paraId="4643F529">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eastAsia="仿宋_GB2312"/>
          <w:color w:val="auto"/>
          <w:sz w:val="32"/>
          <w:szCs w:val="32"/>
        </w:rPr>
      </w:pPr>
    </w:p>
    <w:bookmarkEnd w:id="0"/>
    <w:p w14:paraId="2D2CDCC5">
      <w:pPr>
        <w:pStyle w:val="1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关于</w:t>
      </w:r>
      <w:r>
        <w:rPr>
          <w:rFonts w:hint="eastAsia" w:ascii="方正小标宋_GBK" w:hAnsi="方正小标宋_GBK" w:eastAsia="方正小标宋_GBK" w:cs="方正小标宋_GBK"/>
          <w:sz w:val="44"/>
          <w:szCs w:val="44"/>
          <w:lang w:eastAsia="zh-CN"/>
        </w:rPr>
        <w:t>对华能吉林发电有限公司长春热电厂风电</w:t>
      </w:r>
      <w:r>
        <w:rPr>
          <w:rFonts w:hint="eastAsia" w:ascii="方正小标宋_GBK" w:hAnsi="方正小标宋_GBK" w:eastAsia="方正小标宋_GBK" w:cs="方正小标宋_GBK"/>
          <w:sz w:val="44"/>
          <w:szCs w:val="44"/>
          <w:lang w:val="en-US" w:eastAsia="zh-CN"/>
        </w:rPr>
        <w:t>55兆瓦</w:t>
      </w:r>
      <w:r>
        <w:rPr>
          <w:rFonts w:hint="eastAsia" w:ascii="方正小标宋_GBK" w:hAnsi="方正小标宋_GBK" w:eastAsia="方正小标宋_GBK" w:cs="方正小标宋_GBK"/>
          <w:sz w:val="44"/>
          <w:szCs w:val="44"/>
          <w:lang w:eastAsia="zh-CN"/>
        </w:rPr>
        <w:t>“以电代煤”试点项目</w:t>
      </w:r>
    </w:p>
    <w:p w14:paraId="3BA97DCA">
      <w:pPr>
        <w:pStyle w:val="10"/>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调整用地范围文</w:t>
      </w:r>
      <w:r>
        <w:rPr>
          <w:rFonts w:hint="eastAsia" w:ascii="方正小标宋_GBK" w:hAnsi="方正小标宋_GBK" w:eastAsia="方正小标宋_GBK" w:cs="方正小标宋_GBK"/>
          <w:sz w:val="44"/>
          <w:szCs w:val="44"/>
        </w:rPr>
        <w:t>物调查</w:t>
      </w:r>
      <w:r>
        <w:rPr>
          <w:rFonts w:hint="eastAsia" w:ascii="方正小标宋_GBK" w:hAnsi="方正小标宋_GBK" w:eastAsia="方正小标宋_GBK" w:cs="方正小标宋_GBK"/>
          <w:sz w:val="44"/>
          <w:szCs w:val="44"/>
          <w:lang w:eastAsia="zh-CN"/>
        </w:rPr>
        <w:t>工作</w:t>
      </w:r>
      <w:r>
        <w:rPr>
          <w:rFonts w:hint="eastAsia" w:ascii="方正小标宋_GBK" w:hAnsi="方正小标宋_GBK" w:eastAsia="方正小标宋_GBK" w:cs="方正小标宋_GBK"/>
          <w:sz w:val="44"/>
          <w:szCs w:val="44"/>
        </w:rPr>
        <w:t>的意见</w:t>
      </w:r>
    </w:p>
    <w:p w14:paraId="0A751326">
      <w:pPr>
        <w:pStyle w:val="10"/>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eastAsia" w:ascii="CESI仿宋-GB13000" w:hAnsi="CESI仿宋-GB13000" w:eastAsia="CESI仿宋-GB13000" w:cs="CESI仿宋-GB13000"/>
          <w:sz w:val="32"/>
          <w:szCs w:val="32"/>
          <w:lang w:eastAsia="zh-CN"/>
        </w:rPr>
      </w:pPr>
    </w:p>
    <w:p w14:paraId="5B96C7C1">
      <w:pPr>
        <w:pStyle w:val="10"/>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lang w:eastAsia="zh-CN"/>
        </w:rPr>
        <w:t>华能长春热电有限公司</w:t>
      </w:r>
      <w:r>
        <w:rPr>
          <w:rFonts w:hint="eastAsia" w:ascii="CESI仿宋-GB13000" w:hAnsi="CESI仿宋-GB13000" w:eastAsia="CESI仿宋-GB13000" w:cs="CESI仿宋-GB13000"/>
          <w:sz w:val="32"/>
          <w:szCs w:val="32"/>
        </w:rPr>
        <w:t>:</w:t>
      </w:r>
    </w:p>
    <w:p w14:paraId="421C6DAC">
      <w:pPr>
        <w:pStyle w:val="4"/>
        <w:keepNext w:val="0"/>
        <w:keepLines w:val="0"/>
        <w:widowControl/>
        <w:suppressLineNumbers w:val="0"/>
        <w:spacing w:before="0" w:beforeAutospacing="0" w:after="0" w:afterAutospacing="0" w:line="330" w:lineRule="atLeast"/>
        <w:ind w:left="0" w:right="0" w:firstLine="0"/>
        <w:jc w:val="left"/>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rPr>
        <w:t xml:space="preserve">    </w:t>
      </w:r>
      <w:r>
        <w:rPr>
          <w:rFonts w:hint="eastAsia" w:ascii="CESI仿宋-GB13000" w:hAnsi="CESI仿宋-GB13000" w:eastAsia="CESI仿宋-GB13000" w:cs="CESI仿宋-GB13000"/>
          <w:sz w:val="32"/>
          <w:szCs w:val="32"/>
          <w:lang w:eastAsia="zh-CN"/>
        </w:rPr>
        <w:t>你公司报送的《关于申请对华能吉林发电有限公司长春热电厂风电</w:t>
      </w:r>
      <w:r>
        <w:rPr>
          <w:rFonts w:hint="eastAsia" w:ascii="CESI仿宋-GB13000" w:hAnsi="CESI仿宋-GB13000" w:eastAsia="CESI仿宋-GB13000" w:cs="CESI仿宋-GB13000"/>
          <w:sz w:val="32"/>
          <w:szCs w:val="32"/>
          <w:lang w:val="en-US" w:eastAsia="zh-CN"/>
        </w:rPr>
        <w:t>55兆瓦</w:t>
      </w:r>
      <w:r>
        <w:rPr>
          <w:rFonts w:hint="eastAsia" w:ascii="CESI仿宋-GB13000" w:hAnsi="CESI仿宋-GB13000" w:eastAsia="CESI仿宋-GB13000" w:cs="CESI仿宋-GB13000"/>
          <w:sz w:val="32"/>
          <w:szCs w:val="32"/>
          <w:lang w:eastAsia="zh-CN"/>
        </w:rPr>
        <w:t>“以电代煤”试点项目调整用地范围的请示》</w:t>
      </w:r>
      <w:r>
        <w:rPr>
          <w:rFonts w:hint="eastAsia" w:ascii="CESI仿宋-GB13000" w:hAnsi="CESI仿宋-GB13000" w:eastAsia="CESI仿宋-GB13000" w:cs="CESI仿宋-GB13000"/>
          <w:sz w:val="32"/>
          <w:szCs w:val="32"/>
        </w:rPr>
        <w:t>(</w:t>
      </w:r>
      <w:r>
        <w:rPr>
          <w:rFonts w:hint="eastAsia" w:ascii="CESI仿宋-GB13000" w:hAnsi="CESI仿宋-GB13000" w:eastAsia="CESI仿宋-GB13000" w:cs="CESI仿宋-GB13000"/>
          <w:sz w:val="32"/>
          <w:szCs w:val="32"/>
          <w:lang w:eastAsia="zh-CN"/>
        </w:rPr>
        <w:t>华能吉长</w:t>
      </w:r>
      <w:r>
        <w:rPr>
          <w:rFonts w:hint="eastAsia" w:ascii="CESI仿宋-GB13000" w:hAnsi="CESI仿宋-GB13000" w:eastAsia="CESI仿宋-GB13000" w:cs="CESI仿宋-GB13000"/>
          <w:sz w:val="32"/>
          <w:szCs w:val="32"/>
        </w:rPr>
        <w:t>〔20</w:t>
      </w:r>
      <w:r>
        <w:rPr>
          <w:rFonts w:hint="eastAsia" w:ascii="CESI仿宋-GB13000" w:hAnsi="CESI仿宋-GB13000" w:eastAsia="CESI仿宋-GB13000" w:cs="CESI仿宋-GB13000"/>
          <w:sz w:val="32"/>
          <w:szCs w:val="32"/>
          <w:lang w:val="en-US" w:eastAsia="zh-CN"/>
        </w:rPr>
        <w:t>26</w:t>
      </w:r>
      <w:r>
        <w:rPr>
          <w:rFonts w:hint="eastAsia" w:ascii="CESI仿宋-GB13000" w:hAnsi="CESI仿宋-GB13000" w:eastAsia="CESI仿宋-GB13000" w:cs="CESI仿宋-GB13000"/>
          <w:sz w:val="32"/>
          <w:szCs w:val="32"/>
        </w:rPr>
        <w:t>〕</w:t>
      </w:r>
      <w:r>
        <w:rPr>
          <w:rFonts w:hint="eastAsia" w:ascii="CESI仿宋-GB13000" w:hAnsi="CESI仿宋-GB13000" w:eastAsia="CESI仿宋-GB13000" w:cs="CESI仿宋-GB13000"/>
          <w:sz w:val="32"/>
          <w:szCs w:val="32"/>
          <w:lang w:val="en-US" w:eastAsia="zh-CN"/>
        </w:rPr>
        <w:t>53</w:t>
      </w:r>
      <w:r>
        <w:rPr>
          <w:rFonts w:hint="eastAsia" w:ascii="CESI仿宋-GB13000" w:hAnsi="CESI仿宋-GB13000" w:eastAsia="CESI仿宋-GB13000" w:cs="CESI仿宋-GB13000"/>
          <w:sz w:val="32"/>
          <w:szCs w:val="32"/>
        </w:rPr>
        <w:t>号)收悉</w:t>
      </w:r>
      <w:r>
        <w:rPr>
          <w:rFonts w:hint="eastAsia" w:ascii="CESI仿宋-GB13000" w:hAnsi="CESI仿宋-GB13000" w:eastAsia="CESI仿宋-GB13000" w:cs="CESI仿宋-GB13000"/>
          <w:sz w:val="32"/>
          <w:szCs w:val="32"/>
          <w:lang w:eastAsia="zh-CN"/>
        </w:rPr>
        <w:t>。</w:t>
      </w:r>
      <w:r>
        <w:rPr>
          <w:rFonts w:hint="eastAsia" w:ascii="CESI仿宋-GB13000" w:hAnsi="CESI仿宋-GB13000" w:eastAsia="CESI仿宋-GB13000" w:cs="CESI仿宋-GB13000"/>
          <w:sz w:val="32"/>
          <w:szCs w:val="32"/>
        </w:rPr>
        <w:t>根据省文物考古研究所</w:t>
      </w:r>
      <w:r>
        <w:rPr>
          <w:rFonts w:hint="eastAsia" w:ascii="CESI仿宋-GB13000" w:hAnsi="CESI仿宋-GB13000" w:eastAsia="CESI仿宋-GB13000" w:cs="CESI仿宋-GB13000"/>
          <w:sz w:val="32"/>
          <w:szCs w:val="32"/>
          <w:lang w:eastAsia="zh-CN"/>
        </w:rPr>
        <w:t>《关于华能吉林发电有限公司长春热电厂风电</w:t>
      </w:r>
      <w:r>
        <w:rPr>
          <w:rFonts w:hint="eastAsia" w:ascii="CESI仿宋-GB13000" w:hAnsi="CESI仿宋-GB13000" w:eastAsia="CESI仿宋-GB13000" w:cs="CESI仿宋-GB13000"/>
          <w:sz w:val="32"/>
          <w:szCs w:val="32"/>
          <w:lang w:val="en-US" w:eastAsia="zh-CN"/>
        </w:rPr>
        <w:t>55兆瓦</w:t>
      </w:r>
      <w:r>
        <w:rPr>
          <w:rFonts w:hint="eastAsia" w:ascii="CESI仿宋-GB13000" w:hAnsi="CESI仿宋-GB13000" w:eastAsia="CESI仿宋-GB13000" w:cs="CESI仿宋-GB13000"/>
          <w:sz w:val="32"/>
          <w:szCs w:val="32"/>
          <w:lang w:eastAsia="zh-CN"/>
        </w:rPr>
        <w:t>“以电代煤”试点项目文物调查工作的复函》</w:t>
      </w:r>
      <w:r>
        <w:rPr>
          <w:rFonts w:hint="eastAsia" w:ascii="CESI仿宋-GB13000" w:hAnsi="CESI仿宋-GB13000" w:eastAsia="CESI仿宋-GB13000" w:cs="CESI仿宋-GB13000"/>
          <w:sz w:val="32"/>
          <w:szCs w:val="32"/>
        </w:rPr>
        <w:t>(吉文考函〔20</w:t>
      </w:r>
      <w:r>
        <w:rPr>
          <w:rFonts w:hint="eastAsia" w:ascii="CESI仿宋-GB13000" w:hAnsi="CESI仿宋-GB13000" w:eastAsia="CESI仿宋-GB13000" w:cs="CESI仿宋-GB13000"/>
          <w:sz w:val="32"/>
          <w:szCs w:val="32"/>
          <w:lang w:val="en-US" w:eastAsia="zh-CN"/>
        </w:rPr>
        <w:t>26</w:t>
      </w:r>
      <w:r>
        <w:rPr>
          <w:rFonts w:hint="eastAsia" w:ascii="CESI仿宋-GB13000" w:hAnsi="CESI仿宋-GB13000" w:eastAsia="CESI仿宋-GB13000" w:cs="CESI仿宋-GB13000"/>
          <w:sz w:val="32"/>
          <w:szCs w:val="32"/>
        </w:rPr>
        <w:t>〕</w:t>
      </w:r>
      <w:r>
        <w:rPr>
          <w:rFonts w:hint="eastAsia" w:ascii="CESI仿宋-GB13000" w:hAnsi="CESI仿宋-GB13000" w:eastAsia="CESI仿宋-GB13000" w:cs="CESI仿宋-GB13000"/>
          <w:sz w:val="32"/>
          <w:szCs w:val="32"/>
          <w:lang w:val="en-US" w:eastAsia="zh-CN"/>
        </w:rPr>
        <w:t>223</w:t>
      </w:r>
      <w:r>
        <w:rPr>
          <w:rFonts w:hint="eastAsia" w:ascii="CESI仿宋-GB13000" w:hAnsi="CESI仿宋-GB13000" w:eastAsia="CESI仿宋-GB13000" w:cs="CESI仿宋-GB13000"/>
          <w:sz w:val="32"/>
          <w:szCs w:val="32"/>
        </w:rPr>
        <w:t>号)</w:t>
      </w:r>
      <w:r>
        <w:rPr>
          <w:rFonts w:hint="eastAsia" w:ascii="CESI仿宋-GB13000" w:hAnsi="CESI仿宋-GB13000" w:eastAsia="CESI仿宋-GB13000" w:cs="CESI仿宋-GB13000"/>
          <w:sz w:val="32"/>
          <w:szCs w:val="32"/>
          <w:lang w:eastAsia="zh-CN"/>
        </w:rPr>
        <w:t>结论</w:t>
      </w:r>
      <w:r>
        <w:rPr>
          <w:rFonts w:hint="eastAsia" w:ascii="CESI仿宋-GB13000" w:hAnsi="CESI仿宋-GB13000" w:eastAsia="CESI仿宋-GB13000" w:cs="CESI仿宋-GB13000"/>
          <w:sz w:val="32"/>
          <w:szCs w:val="32"/>
        </w:rPr>
        <w:t>，经研究，我厅意见如下</w:t>
      </w:r>
      <w:r>
        <w:rPr>
          <w:rFonts w:hint="eastAsia" w:ascii="CESI仿宋-GB13000" w:hAnsi="CESI仿宋-GB13000" w:eastAsia="CESI仿宋-GB13000" w:cs="CESI仿宋-GB13000"/>
          <w:sz w:val="32"/>
          <w:szCs w:val="32"/>
          <w:lang w:eastAsia="zh-CN"/>
        </w:rPr>
        <w:t>：</w:t>
      </w:r>
    </w:p>
    <w:p w14:paraId="0429F90F">
      <w:pPr>
        <w:pStyle w:val="10"/>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640" w:firstLineChars="200"/>
        <w:jc w:val="both"/>
        <w:textAlignment w:val="auto"/>
        <w:outlineLvl w:val="9"/>
        <w:rPr>
          <w:rFonts w:hint="eastAsia" w:ascii="CESI仿宋-GB13000" w:hAnsi="CESI仿宋-GB13000" w:eastAsia="CESI仿宋-GB13000" w:cs="CESI仿宋-GB13000"/>
          <w:sz w:val="32"/>
          <w:szCs w:val="32"/>
          <w:lang w:eastAsia="zh-CN"/>
        </w:rPr>
      </w:pPr>
      <w:r>
        <w:rPr>
          <w:rFonts w:hint="eastAsia" w:ascii="CESI仿宋-GB13000" w:hAnsi="CESI仿宋-GB13000" w:eastAsia="CESI仿宋-GB13000" w:cs="CESI仿宋-GB13000"/>
          <w:sz w:val="32"/>
          <w:szCs w:val="32"/>
        </w:rPr>
        <w:t>一、</w:t>
      </w:r>
      <w:r>
        <w:rPr>
          <w:rFonts w:hint="eastAsia" w:ascii="CESI仿宋-GB13000" w:hAnsi="CESI仿宋-GB13000" w:eastAsia="CESI仿宋-GB13000" w:cs="CESI仿宋-GB13000"/>
          <w:sz w:val="32"/>
          <w:szCs w:val="32"/>
          <w:lang w:eastAsia="zh-CN"/>
        </w:rPr>
        <w:t>华能吉林发电有限公司长春热电厂风电</w:t>
      </w:r>
      <w:r>
        <w:rPr>
          <w:rFonts w:hint="eastAsia" w:ascii="CESI仿宋-GB13000" w:hAnsi="CESI仿宋-GB13000" w:eastAsia="CESI仿宋-GB13000" w:cs="CESI仿宋-GB13000"/>
          <w:sz w:val="32"/>
          <w:szCs w:val="32"/>
          <w:lang w:val="en-US" w:eastAsia="zh-CN"/>
        </w:rPr>
        <w:t>55兆瓦</w:t>
      </w:r>
      <w:r>
        <w:rPr>
          <w:rFonts w:hint="eastAsia" w:ascii="CESI仿宋-GB13000" w:hAnsi="CESI仿宋-GB13000" w:eastAsia="CESI仿宋-GB13000" w:cs="CESI仿宋-GB13000"/>
          <w:sz w:val="32"/>
          <w:szCs w:val="32"/>
          <w:lang w:eastAsia="zh-CN"/>
        </w:rPr>
        <w:t>“以电代煤”试点项目调整用地内经考古调查未发现古文化遗存，可以组织工程建设。</w:t>
      </w:r>
    </w:p>
    <w:p w14:paraId="32749050">
      <w:pPr>
        <w:pStyle w:val="10"/>
        <w:keepNext w:val="0"/>
        <w:keepLines w:val="0"/>
        <w:pageBreakBefore w:val="0"/>
        <w:widowControl w:val="0"/>
        <w:kinsoku/>
        <w:wordWrap/>
        <w:overflowPunct/>
        <w:topLinePunct w:val="0"/>
        <w:autoSpaceDE/>
        <w:autoSpaceDN/>
        <w:bidi w:val="0"/>
        <w:adjustRightInd/>
        <w:snapToGrid/>
        <w:spacing w:line="640" w:lineRule="exact"/>
        <w:ind w:right="0" w:rightChars="0" w:firstLine="640" w:firstLineChars="200"/>
        <w:jc w:val="both"/>
        <w:textAlignment w:val="auto"/>
        <w:outlineLvl w:val="9"/>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lang w:eastAsia="zh-CN"/>
        </w:rPr>
        <w:t>二</w:t>
      </w:r>
      <w:r>
        <w:rPr>
          <w:rFonts w:hint="eastAsia" w:ascii="CESI仿宋-GB13000" w:hAnsi="CESI仿宋-GB13000" w:eastAsia="CESI仿宋-GB13000" w:cs="CESI仿宋-GB13000"/>
          <w:sz w:val="32"/>
          <w:szCs w:val="32"/>
        </w:rPr>
        <w:t>、由于地下文物的不可预见性，在施工过程中如发现文物，应立即停止施工，</w:t>
      </w:r>
      <w:r>
        <w:rPr>
          <w:rFonts w:hint="eastAsia" w:ascii="CESI仿宋-GB13000" w:hAnsi="CESI仿宋-GB13000" w:eastAsia="CESI仿宋-GB13000" w:cs="CESI仿宋-GB13000"/>
          <w:sz w:val="32"/>
          <w:szCs w:val="32"/>
          <w:lang w:eastAsia="zh-CN"/>
        </w:rPr>
        <w:t>并</w:t>
      </w:r>
      <w:r>
        <w:rPr>
          <w:rFonts w:hint="eastAsia" w:ascii="CESI仿宋-GB13000" w:hAnsi="CESI仿宋-GB13000" w:eastAsia="CESI仿宋-GB13000" w:cs="CESI仿宋-GB13000"/>
          <w:sz w:val="32"/>
          <w:szCs w:val="32"/>
        </w:rPr>
        <w:t>向</w:t>
      </w:r>
      <w:r>
        <w:rPr>
          <w:rFonts w:hint="eastAsia" w:ascii="CESI仿宋-GB13000" w:hAnsi="CESI仿宋-GB13000" w:eastAsia="CESI仿宋-GB13000" w:cs="CESI仿宋-GB13000"/>
          <w:sz w:val="32"/>
          <w:szCs w:val="32"/>
          <w:lang w:eastAsia="zh-CN"/>
        </w:rPr>
        <w:t>当地</w:t>
      </w:r>
      <w:r>
        <w:rPr>
          <w:rFonts w:hint="eastAsia" w:ascii="CESI仿宋-GB13000" w:hAnsi="CESI仿宋-GB13000" w:eastAsia="CESI仿宋-GB13000" w:cs="CESI仿宋-GB13000"/>
          <w:sz w:val="32"/>
          <w:szCs w:val="32"/>
        </w:rPr>
        <w:t>文物行政部门报告。</w:t>
      </w:r>
    </w:p>
    <w:p w14:paraId="567E2EC8">
      <w:pPr>
        <w:pStyle w:val="10"/>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rPr>
        <w:t xml:space="preserve">    专此意见。</w:t>
      </w:r>
    </w:p>
    <w:p w14:paraId="3A3C5B27">
      <w:pPr>
        <w:pStyle w:val="10"/>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eastAsia" w:ascii="CESI仿宋-GB13000" w:hAnsi="CESI仿宋-GB13000" w:eastAsia="CESI仿宋-GB13000" w:cs="CESI仿宋-GB13000"/>
          <w:sz w:val="32"/>
          <w:szCs w:val="32"/>
          <w:lang w:val="en-US" w:eastAsia="zh-CN"/>
        </w:rPr>
      </w:pPr>
      <w:r>
        <w:rPr>
          <w:rFonts w:hint="eastAsia" w:ascii="CESI仿宋-GB13000" w:hAnsi="CESI仿宋-GB13000" w:eastAsia="CESI仿宋-GB13000" w:cs="CESI仿宋-GB13000"/>
          <w:sz w:val="32"/>
          <w:szCs w:val="32"/>
        </w:rPr>
        <w:t xml:space="preserve"> </w:t>
      </w:r>
      <w:r>
        <w:rPr>
          <w:rFonts w:hint="eastAsia" w:ascii="CESI仿宋-GB13000" w:hAnsi="CESI仿宋-GB13000" w:eastAsia="CESI仿宋-GB13000" w:cs="CESI仿宋-GB13000"/>
          <w:sz w:val="32"/>
          <w:szCs w:val="32"/>
          <w:lang w:val="en-US" w:eastAsia="zh-CN"/>
        </w:rPr>
        <w:t xml:space="preserve">  </w:t>
      </w:r>
    </w:p>
    <w:p w14:paraId="5954E727">
      <w:pPr>
        <w:pStyle w:val="10"/>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lang w:val="en-US" w:eastAsia="zh-CN"/>
        </w:rPr>
        <w:t xml:space="preserve">                           </w:t>
      </w:r>
      <w:r>
        <w:rPr>
          <w:rFonts w:hint="eastAsia" w:ascii="CESI仿宋-GB13000" w:hAnsi="CESI仿宋-GB13000" w:eastAsia="CESI仿宋-GB13000" w:cs="CESI仿宋-GB13000"/>
          <w:sz w:val="32"/>
          <w:szCs w:val="32"/>
        </w:rPr>
        <w:t>吉林省文化和旅游厅</w:t>
      </w:r>
    </w:p>
    <w:p w14:paraId="52F417A5">
      <w:pPr>
        <w:pStyle w:val="10"/>
        <w:keepNext w:val="0"/>
        <w:keepLines w:val="0"/>
        <w:pageBreakBefore w:val="0"/>
        <w:widowControl w:val="0"/>
        <w:kinsoku/>
        <w:wordWrap/>
        <w:overflowPunct/>
        <w:topLinePunct w:val="0"/>
        <w:autoSpaceDE/>
        <w:autoSpaceDN/>
        <w:bidi w:val="0"/>
        <w:adjustRightInd/>
        <w:snapToGrid/>
        <w:spacing w:line="640" w:lineRule="exact"/>
        <w:ind w:left="0" w:leftChars="0" w:right="0" w:rightChars="0" w:firstLine="0" w:firstLineChars="0"/>
        <w:jc w:val="both"/>
        <w:textAlignment w:val="auto"/>
        <w:outlineLvl w:val="9"/>
        <w:rPr>
          <w:rFonts w:hint="eastAsia" w:ascii="CESI仿宋-GB13000" w:hAnsi="CESI仿宋-GB13000" w:eastAsia="CESI仿宋-GB13000" w:cs="CESI仿宋-GB13000"/>
          <w:sz w:val="32"/>
          <w:szCs w:val="32"/>
        </w:rPr>
      </w:pPr>
      <w:r>
        <w:rPr>
          <w:rFonts w:hint="eastAsia" w:ascii="CESI仿宋-GB13000" w:hAnsi="CESI仿宋-GB13000" w:eastAsia="CESI仿宋-GB13000" w:cs="CESI仿宋-GB13000"/>
          <w:sz w:val="32"/>
          <w:szCs w:val="32"/>
        </w:rPr>
        <w:t xml:space="preserve">                         </w:t>
      </w:r>
      <w:r>
        <w:rPr>
          <w:rFonts w:hint="eastAsia" w:ascii="CESI仿宋-GB13000" w:hAnsi="CESI仿宋-GB13000" w:eastAsia="CESI仿宋-GB13000" w:cs="CESI仿宋-GB13000"/>
          <w:sz w:val="32"/>
          <w:szCs w:val="32"/>
          <w:lang w:val="en-US" w:eastAsia="zh-CN"/>
        </w:rPr>
        <w:t xml:space="preserve">   </w:t>
      </w:r>
      <w:r>
        <w:rPr>
          <w:rFonts w:hint="default" w:ascii="CESI仿宋-GB13000" w:hAnsi="CESI仿宋-GB13000" w:eastAsia="CESI仿宋-GB13000" w:cs="CESI仿宋-GB13000"/>
          <w:sz w:val="32"/>
          <w:szCs w:val="32"/>
          <w:lang w:val="en" w:eastAsia="zh-CN"/>
        </w:rPr>
        <w:t xml:space="preserve">  </w:t>
      </w:r>
      <w:r>
        <w:rPr>
          <w:rFonts w:hint="eastAsia" w:ascii="CESI仿宋-GB13000" w:hAnsi="CESI仿宋-GB13000" w:eastAsia="CESI仿宋-GB13000" w:cs="CESI仿宋-GB13000"/>
          <w:sz w:val="32"/>
          <w:szCs w:val="32"/>
        </w:rPr>
        <w:t>20</w:t>
      </w:r>
      <w:r>
        <w:rPr>
          <w:rFonts w:hint="eastAsia" w:ascii="CESI仿宋-GB13000" w:hAnsi="CESI仿宋-GB13000" w:eastAsia="CESI仿宋-GB13000" w:cs="CESI仿宋-GB13000"/>
          <w:sz w:val="32"/>
          <w:szCs w:val="32"/>
          <w:lang w:val="en-US" w:eastAsia="zh-CN"/>
        </w:rPr>
        <w:t>26</w:t>
      </w:r>
      <w:r>
        <w:rPr>
          <w:rFonts w:hint="eastAsia" w:ascii="CESI仿宋-GB13000" w:hAnsi="CESI仿宋-GB13000" w:eastAsia="CESI仿宋-GB13000" w:cs="CESI仿宋-GB13000"/>
          <w:sz w:val="32"/>
          <w:szCs w:val="32"/>
        </w:rPr>
        <w:t>年</w:t>
      </w:r>
      <w:r>
        <w:rPr>
          <w:rFonts w:hint="eastAsia" w:ascii="CESI仿宋-GB13000" w:hAnsi="CESI仿宋-GB13000" w:eastAsia="CESI仿宋-GB13000" w:cs="CESI仿宋-GB13000"/>
          <w:sz w:val="32"/>
          <w:szCs w:val="32"/>
          <w:lang w:val="en-US" w:eastAsia="zh-CN"/>
        </w:rPr>
        <w:t>9</w:t>
      </w:r>
      <w:r>
        <w:rPr>
          <w:rFonts w:hint="eastAsia" w:ascii="CESI仿宋-GB13000" w:hAnsi="CESI仿宋-GB13000" w:eastAsia="CESI仿宋-GB13000" w:cs="CESI仿宋-GB13000"/>
          <w:sz w:val="32"/>
          <w:szCs w:val="32"/>
        </w:rPr>
        <w:t>月</w:t>
      </w:r>
      <w:r>
        <w:rPr>
          <w:rFonts w:hint="eastAsia" w:ascii="CESI仿宋-GB13000" w:hAnsi="CESI仿宋-GB13000" w:eastAsia="CESI仿宋-GB13000" w:cs="CESI仿宋-GB13000"/>
          <w:sz w:val="32"/>
          <w:szCs w:val="32"/>
          <w:lang w:val="en-US" w:eastAsia="zh-CN"/>
        </w:rPr>
        <w:t>3</w:t>
      </w:r>
      <w:r>
        <w:rPr>
          <w:rFonts w:hint="eastAsia" w:ascii="CESI仿宋-GB13000" w:hAnsi="CESI仿宋-GB13000" w:eastAsia="CESI仿宋-GB13000" w:cs="CESI仿宋-GB13000"/>
          <w:sz w:val="32"/>
          <w:szCs w:val="32"/>
        </w:rPr>
        <w:t>日</w:t>
      </w:r>
    </w:p>
    <w:p w14:paraId="0B097202">
      <w:bookmarkStart w:id="1" w:name="_GoBack"/>
      <w:bookmarkEnd w:id="1"/>
    </w:p>
    <w:sectPr>
      <w:footerReference r:id="rId3" w:type="default"/>
      <w:footerReference r:id="rId4" w:type="even"/>
      <w:pgSz w:w="11906" w:h="16838"/>
      <w:pgMar w:top="2098" w:right="1474" w:bottom="1701" w:left="1587" w:header="850" w:footer="283"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仿宋-GB13000">
    <w:altName w:val="方正仿宋_GBK"/>
    <w:panose1 w:val="02000500000000000000"/>
    <w:charset w:val="00"/>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7B087">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36E8C">
    <w:pPr>
      <w:pStyle w:val="2"/>
      <w:framePr w:wrap="around" w:vAnchor="text" w:hAnchor="margin" w:xAlign="center" w:y="1"/>
      <w:rPr>
        <w:rStyle w:val="7"/>
      </w:rPr>
    </w:pPr>
    <w:r>
      <w:fldChar w:fldCharType="begin"/>
    </w:r>
    <w:r>
      <w:rPr>
        <w:rStyle w:val="7"/>
      </w:rPr>
      <w:instrText xml:space="preserve">PAGE  </w:instrText>
    </w:r>
    <w:r>
      <w:fldChar w:fldCharType="end"/>
    </w:r>
  </w:p>
  <w:p w14:paraId="7E6D19F1">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41E35"/>
    <w:rsid w:val="008B73C2"/>
    <w:rsid w:val="00B820CB"/>
    <w:rsid w:val="02D11C3D"/>
    <w:rsid w:val="036527B6"/>
    <w:rsid w:val="03B31FDE"/>
    <w:rsid w:val="0529763D"/>
    <w:rsid w:val="07A45DFD"/>
    <w:rsid w:val="0897720D"/>
    <w:rsid w:val="08E25FED"/>
    <w:rsid w:val="0B703A5F"/>
    <w:rsid w:val="0B7BC427"/>
    <w:rsid w:val="0C003B05"/>
    <w:rsid w:val="0CD8509B"/>
    <w:rsid w:val="0CEC568C"/>
    <w:rsid w:val="0DB5188A"/>
    <w:rsid w:val="0E00366D"/>
    <w:rsid w:val="0E2706DA"/>
    <w:rsid w:val="0F956568"/>
    <w:rsid w:val="1020064A"/>
    <w:rsid w:val="13393464"/>
    <w:rsid w:val="14CA2B91"/>
    <w:rsid w:val="172C3621"/>
    <w:rsid w:val="185611ED"/>
    <w:rsid w:val="190A3A6A"/>
    <w:rsid w:val="1A78700C"/>
    <w:rsid w:val="1B4A1EFB"/>
    <w:rsid w:val="1C4F3541"/>
    <w:rsid w:val="1CFE11EF"/>
    <w:rsid w:val="1DCF49E6"/>
    <w:rsid w:val="1F082927"/>
    <w:rsid w:val="1FB01E4A"/>
    <w:rsid w:val="1FD75D28"/>
    <w:rsid w:val="204C04A8"/>
    <w:rsid w:val="23593DF3"/>
    <w:rsid w:val="248F4E23"/>
    <w:rsid w:val="24D52A7D"/>
    <w:rsid w:val="251D5AD0"/>
    <w:rsid w:val="25DC7BF4"/>
    <w:rsid w:val="26C03072"/>
    <w:rsid w:val="27B96163"/>
    <w:rsid w:val="28B91DD0"/>
    <w:rsid w:val="2A574690"/>
    <w:rsid w:val="2A847E2F"/>
    <w:rsid w:val="2B2D2CA0"/>
    <w:rsid w:val="2B593131"/>
    <w:rsid w:val="2B840101"/>
    <w:rsid w:val="2BA639A9"/>
    <w:rsid w:val="2C506C46"/>
    <w:rsid w:val="2CA12159"/>
    <w:rsid w:val="2CB072B0"/>
    <w:rsid w:val="2CED3B02"/>
    <w:rsid w:val="2EC21951"/>
    <w:rsid w:val="2F28285C"/>
    <w:rsid w:val="2F6DA881"/>
    <w:rsid w:val="2FCF43B1"/>
    <w:rsid w:val="2FE61224"/>
    <w:rsid w:val="305C631D"/>
    <w:rsid w:val="31592A40"/>
    <w:rsid w:val="32A04676"/>
    <w:rsid w:val="32E53E60"/>
    <w:rsid w:val="33122348"/>
    <w:rsid w:val="34CC3529"/>
    <w:rsid w:val="36C905D5"/>
    <w:rsid w:val="37983B97"/>
    <w:rsid w:val="380E272B"/>
    <w:rsid w:val="382B5114"/>
    <w:rsid w:val="38743CBC"/>
    <w:rsid w:val="39294ED7"/>
    <w:rsid w:val="39EB2278"/>
    <w:rsid w:val="3AA06FEA"/>
    <w:rsid w:val="3AE74B3F"/>
    <w:rsid w:val="3BC9431F"/>
    <w:rsid w:val="3BE253E0"/>
    <w:rsid w:val="3C11044E"/>
    <w:rsid w:val="3CA15A29"/>
    <w:rsid w:val="3D7A088C"/>
    <w:rsid w:val="3DF338D5"/>
    <w:rsid w:val="3DF8787D"/>
    <w:rsid w:val="3FFA6350"/>
    <w:rsid w:val="418B7A4A"/>
    <w:rsid w:val="421D7172"/>
    <w:rsid w:val="422E312E"/>
    <w:rsid w:val="429E73D6"/>
    <w:rsid w:val="43510938"/>
    <w:rsid w:val="4649760A"/>
    <w:rsid w:val="465B470D"/>
    <w:rsid w:val="46ED5BF3"/>
    <w:rsid w:val="4A7C52D1"/>
    <w:rsid w:val="4B3860D2"/>
    <w:rsid w:val="4C2566B1"/>
    <w:rsid w:val="4C2C4AE2"/>
    <w:rsid w:val="4D297313"/>
    <w:rsid w:val="4EC7290B"/>
    <w:rsid w:val="503A35E5"/>
    <w:rsid w:val="504D37A9"/>
    <w:rsid w:val="505560B6"/>
    <w:rsid w:val="50DC644B"/>
    <w:rsid w:val="5136D8D2"/>
    <w:rsid w:val="513C1842"/>
    <w:rsid w:val="5166404C"/>
    <w:rsid w:val="51AB479B"/>
    <w:rsid w:val="52F21F55"/>
    <w:rsid w:val="52F31DB4"/>
    <w:rsid w:val="532E5683"/>
    <w:rsid w:val="53352668"/>
    <w:rsid w:val="53A07C03"/>
    <w:rsid w:val="53F8359B"/>
    <w:rsid w:val="54591FEB"/>
    <w:rsid w:val="552C148C"/>
    <w:rsid w:val="561F7B25"/>
    <w:rsid w:val="568E5D67"/>
    <w:rsid w:val="572BC368"/>
    <w:rsid w:val="575136EE"/>
    <w:rsid w:val="57EE7332"/>
    <w:rsid w:val="584A6390"/>
    <w:rsid w:val="5850588D"/>
    <w:rsid w:val="596D0588"/>
    <w:rsid w:val="5ABD109B"/>
    <w:rsid w:val="5ABF6E6D"/>
    <w:rsid w:val="5BFE5D5C"/>
    <w:rsid w:val="5C0D588A"/>
    <w:rsid w:val="5C49708A"/>
    <w:rsid w:val="5CF52D6E"/>
    <w:rsid w:val="5D786D97"/>
    <w:rsid w:val="5DEB5F1F"/>
    <w:rsid w:val="5DEFA7D0"/>
    <w:rsid w:val="5E457D25"/>
    <w:rsid w:val="5F281CED"/>
    <w:rsid w:val="5FFF7B2F"/>
    <w:rsid w:val="60225E45"/>
    <w:rsid w:val="6026610C"/>
    <w:rsid w:val="60363DC9"/>
    <w:rsid w:val="610E007A"/>
    <w:rsid w:val="61686C16"/>
    <w:rsid w:val="63C4488A"/>
    <w:rsid w:val="63CC0145"/>
    <w:rsid w:val="63CE60C7"/>
    <w:rsid w:val="63FB01C4"/>
    <w:rsid w:val="643F1369"/>
    <w:rsid w:val="648203C0"/>
    <w:rsid w:val="655246E8"/>
    <w:rsid w:val="65CC0EE1"/>
    <w:rsid w:val="68007807"/>
    <w:rsid w:val="68263B33"/>
    <w:rsid w:val="684828EC"/>
    <w:rsid w:val="69390486"/>
    <w:rsid w:val="696C439A"/>
    <w:rsid w:val="69DD52B6"/>
    <w:rsid w:val="6A162607"/>
    <w:rsid w:val="6A7A6FA8"/>
    <w:rsid w:val="6BC229B5"/>
    <w:rsid w:val="6BF54B38"/>
    <w:rsid w:val="6C8E073D"/>
    <w:rsid w:val="6F14677E"/>
    <w:rsid w:val="6FFEA12B"/>
    <w:rsid w:val="71123A97"/>
    <w:rsid w:val="71A922DD"/>
    <w:rsid w:val="720A6B9A"/>
    <w:rsid w:val="727EE258"/>
    <w:rsid w:val="72913F04"/>
    <w:rsid w:val="74987012"/>
    <w:rsid w:val="74E539BD"/>
    <w:rsid w:val="755C1784"/>
    <w:rsid w:val="75E05B68"/>
    <w:rsid w:val="773DC0D3"/>
    <w:rsid w:val="7746449A"/>
    <w:rsid w:val="78E52B1B"/>
    <w:rsid w:val="78FBEA92"/>
    <w:rsid w:val="7B3E7406"/>
    <w:rsid w:val="7BEA4D57"/>
    <w:rsid w:val="7C5923A0"/>
    <w:rsid w:val="7CFD7F06"/>
    <w:rsid w:val="7DE9BABC"/>
    <w:rsid w:val="7E5D39E9"/>
    <w:rsid w:val="7F1A341D"/>
    <w:rsid w:val="7FFF01D9"/>
    <w:rsid w:val="AEBD4490"/>
    <w:rsid w:val="B8FBA40A"/>
    <w:rsid w:val="BEFF239B"/>
    <w:rsid w:val="BF358D6F"/>
    <w:rsid w:val="DDDF6121"/>
    <w:rsid w:val="DFDF82CB"/>
    <w:rsid w:val="F977E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basedOn w:val="6"/>
    <w:qFormat/>
    <w:uiPriority w:val="0"/>
  </w:style>
  <w:style w:type="paragraph" w:customStyle="1" w:styleId="8">
    <w:name w:val=" Char"/>
    <w:basedOn w:val="9"/>
    <w:qFormat/>
    <w:uiPriority w:val="0"/>
    <w:pPr>
      <w:widowControl/>
      <w:spacing w:after="160" w:afterLines="0" w:line="240" w:lineRule="exact"/>
      <w:jc w:val="left"/>
    </w:pPr>
  </w:style>
  <w:style w:type="paragraph" w:customStyle="1" w:styleId="9">
    <w:name w:val="正文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正文 New"/>
    <w:qFormat/>
    <w:uiPriority w:val="0"/>
    <w:pPr>
      <w:widowControl w:val="0"/>
      <w:jc w:val="both"/>
    </w:pPr>
    <w:rPr>
      <w:rFonts w:ascii="Calibri" w:hAnsi="Calibri" w:eastAsia="宋体" w:cs="黑体"/>
      <w:kern w:val="2"/>
      <w:sz w:val="21"/>
      <w:szCs w:val="22"/>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302</Words>
  <Characters>349</Characters>
  <Lines>0</Lines>
  <Paragraphs>0</Paragraphs>
  <TotalTime>0</TotalTime>
  <ScaleCrop>false</ScaleCrop>
  <LinksUpToDate>false</LinksUpToDate>
  <CharactersWithSpaces>427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2025-07-07T13:55:00Z</dcterms:created>
  <dc:creator>Administrator</dc:creator>
  <cp:lastModifiedBy>SPB</cp:lastModifiedBy>
  <cp:lastPrinted>2025-10-05T08:12:00Z</cp:lastPrinted>
  <dcterms:modified xsi:type="dcterms:W3CDTF">2026-09-03T14:52:44Z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eyJoZGlkIjoiZGZiY2Q5MjYxNjE3ZjFhNmI0OGI2NTVhNmU0YmVkMTIiLCJ1c2VySWQiOiI2OTQ1NTMxMDAifQ==</vt:lpwstr>
  </property>
  <property fmtid="{D5CDD505-2E9C-101B-9397-08002B2CF9AE}" pid="4" name="ICV">
    <vt:lpwstr>47F1E2A7252943DAB5F6283AA1A77107_12</vt:lpwstr>
  </property>
</Properties>
</file>